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B</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640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3501</w:t>
            </w:r>
            <w:r>
              <w:fldChar w:fldCharType="end"/>
            </w:r>
            <w:bookmarkEnd w:id="3"/>
          </w:p>
        </w:tc>
      </w:tr>
    </w:tbl>
    <w:p>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福建省福州市</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3</w:t>
      </w:r>
      <w:r>
        <w:rPr>
          <w:rFonts w:hint="eastAsia"/>
          <w:lang w:val="fr-FR"/>
        </w:rPr>
        <w:t>501</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橄榄冻害等级</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p>
    <w:p>
      <w:pPr>
        <w:pStyle w:val="125"/>
        <w:framePr w:w="9639" w:h="6974" w:hRule="exact" w:wrap="around" w:vAnchor="page" w:hAnchor="page" w:x="1419" w:y="6408" w:anchorLock="1"/>
        <w:textAlignment w:val="bottom"/>
        <w:rPr>
          <w:rFonts w:ascii="黑体" w:hAnsi="黑体" w:eastAsia="黑体"/>
          <w:szCs w:val="28"/>
        </w:rPr>
      </w:pPr>
    </w:p>
    <w:p>
      <w:pPr>
        <w:pStyle w:val="125"/>
        <w:framePr w:w="9639" w:h="6974" w:hRule="exact" w:wrap="around" w:vAnchor="page" w:hAnchor="page" w:x="1419" w:y="6408" w:anchorLock="1"/>
        <w:textAlignment w:val="bottom"/>
        <w:rPr>
          <w:rFonts w:ascii="黑体" w:hAnsi="黑体" w:eastAsia="黑体"/>
          <w:szCs w:val="28"/>
        </w:rPr>
      </w:pPr>
    </w:p>
    <w:p>
      <w:pPr>
        <w:pStyle w:val="125"/>
        <w:framePr w:w="9639" w:h="6974" w:hRule="exact" w:wrap="around" w:vAnchor="page" w:hAnchor="page" w:x="1419" w:y="6408" w:anchorLock="1"/>
        <w:textAlignment w:val="bottom"/>
        <w:rPr>
          <w:rFonts w:ascii="黑体" w:hAnsi="黑体" w:eastAsia="黑体"/>
          <w:szCs w:val="28"/>
        </w:rPr>
      </w:pPr>
      <w:r>
        <w:rPr>
          <w:rFonts w:hint="eastAsia" w:ascii="黑体" w:hAnsi="黑体" w:eastAsia="黑体"/>
          <w:szCs w:val="28"/>
        </w:rPr>
        <w:t>Grade of</w:t>
      </w:r>
      <w:r>
        <w:rPr>
          <w:rFonts w:ascii="黑体" w:hAnsi="黑体" w:eastAsia="黑体"/>
          <w:szCs w:val="28"/>
        </w:rPr>
        <w:t xml:space="preserve"> freezing </w:t>
      </w:r>
      <w:r>
        <w:rPr>
          <w:rFonts w:hint="eastAsia" w:ascii="黑体" w:hAnsi="黑体" w:eastAsia="黑体"/>
          <w:szCs w:val="28"/>
        </w:rPr>
        <w:t>injury to</w:t>
      </w:r>
      <w:r>
        <w:rPr>
          <w:rFonts w:ascii="黑体" w:hAnsi="黑体" w:eastAsia="黑体"/>
          <w:szCs w:val="28"/>
        </w:rPr>
        <w:t xml:space="preserve"> Chinese olive</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福州市市场监督管理局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spacing w:after="468"/>
      </w:pPr>
      <w:bookmarkStart w:id="21" w:name="BookMark1"/>
      <w:bookmarkStart w:id="22" w:name="_Toc167212146"/>
      <w:bookmarkStart w:id="23" w:name="_Toc166501277"/>
      <w:bookmarkStart w:id="24" w:name="_Toc169960440"/>
      <w:bookmarkStart w:id="25" w:name="_Toc167209551"/>
      <w:bookmarkStart w:id="26" w:name="_Toc132900888"/>
      <w:bookmarkStart w:id="27" w:name="_Toc167212036"/>
      <w:bookmarkStart w:id="28" w:name="_Toc132902386"/>
      <w:bookmarkStart w:id="29" w:name="_Toc132960135"/>
      <w:bookmarkStart w:id="30" w:name="_Toc132900939"/>
      <w:bookmarkStart w:id="31" w:name="_Toc166304877"/>
      <w:bookmarkStart w:id="32" w:name="_Toc169948356"/>
      <w:bookmarkStart w:id="33" w:name="_Toc132959362"/>
      <w:bookmarkStart w:id="34" w:name="_Toc166501315"/>
      <w:bookmarkStart w:id="35" w:name="_Toc132902462"/>
      <w:bookmarkStart w:id="36" w:name="_Toc132959333"/>
      <w:bookmarkStart w:id="37" w:name="_Toc132959790"/>
      <w:bookmarkStart w:id="38" w:name="_Toc132960196"/>
      <w:bookmarkStart w:id="39" w:name="_Toc132955565"/>
      <w:bookmarkStart w:id="40" w:name="_Toc169963958"/>
      <w:bookmarkStart w:id="41" w:name="_Toc132903029"/>
      <w:bookmarkStart w:id="42" w:name="_Toc166501348"/>
      <w:bookmarkStart w:id="43" w:name="_Toc132901108"/>
      <w:bookmarkStart w:id="44" w:name="_Toc132900909"/>
      <w:bookmarkStart w:id="45" w:name="_Toc169965130"/>
      <w:bookmarkStart w:id="46" w:name="_Toc170028738"/>
      <w:bookmarkStart w:id="47" w:name="_Toc132901083"/>
      <w:bookmarkStart w:id="48" w:name="_Toc134690245"/>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"_Toc170204985" </w:instrText>
      </w:r>
      <w:r>
        <w:fldChar w:fldCharType="separate"/>
      </w:r>
      <w:r>
        <w:rPr>
          <w:rStyle w:val="32"/>
          <w:rFonts w:hint="eastAsia"/>
        </w:rPr>
        <w:t>前言</w:t>
      </w:r>
      <w:r>
        <w:tab/>
      </w:r>
      <w:r>
        <w:fldChar w:fldCharType="begin"/>
      </w:r>
      <w:r>
        <w:instrText xml:space="preserve"> PAGEREF _Toc170204985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"_Toc170204986" </w:instrText>
      </w:r>
      <w:r>
        <w:fldChar w:fldCharType="separate"/>
      </w:r>
      <w:r>
        <w:rPr>
          <w:rStyle w:val="32"/>
        </w:rPr>
        <w:t xml:space="preserve">1 </w:t>
      </w:r>
      <w:r>
        <w:rPr>
          <w:rStyle w:val="32"/>
          <w:rFonts w:hint="eastAsia"/>
        </w:rPr>
        <w:t xml:space="preserve"> 范围</w:t>
      </w:r>
      <w:r>
        <w:tab/>
      </w:r>
      <w:r>
        <w:fldChar w:fldCharType="begin"/>
      </w:r>
      <w:r>
        <w:instrText xml:space="preserve"> PAGEREF _Toc170204986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"_Toc170204987" </w:instrText>
      </w:r>
      <w:r>
        <w:fldChar w:fldCharType="separate"/>
      </w:r>
      <w:r>
        <w:rPr>
          <w:rStyle w:val="32"/>
        </w:rPr>
        <w:t xml:space="preserve">2 </w:t>
      </w:r>
      <w:r>
        <w:rPr>
          <w:rStyle w:val="32"/>
          <w:rFonts w:hint="eastAsia"/>
        </w:rPr>
        <w:t xml:space="preserve"> 规范性引用文件</w:t>
      </w:r>
      <w:r>
        <w:tab/>
      </w:r>
      <w:r>
        <w:fldChar w:fldCharType="begin"/>
      </w:r>
      <w:r>
        <w:instrText xml:space="preserve"> PAGEREF _Toc170204987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"_Toc170204988" </w:instrText>
      </w:r>
      <w:r>
        <w:fldChar w:fldCharType="separate"/>
      </w:r>
      <w:r>
        <w:rPr>
          <w:rStyle w:val="32"/>
        </w:rPr>
        <w:t xml:space="preserve">3 </w:t>
      </w:r>
      <w:r>
        <w:rPr>
          <w:rStyle w:val="32"/>
          <w:rFonts w:hint="eastAsia"/>
        </w:rPr>
        <w:t xml:space="preserve"> 术语和定义</w:t>
      </w:r>
      <w:r>
        <w:tab/>
      </w:r>
      <w:r>
        <w:fldChar w:fldCharType="begin"/>
      </w:r>
      <w:r>
        <w:instrText xml:space="preserve"> PAGEREF _Toc170204988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"_Toc170204989" </w:instrText>
      </w:r>
      <w:r>
        <w:fldChar w:fldCharType="separate"/>
      </w:r>
      <w:r>
        <w:rPr>
          <w:rStyle w:val="32"/>
        </w:rPr>
        <w:t xml:space="preserve">4 </w:t>
      </w:r>
      <w:r>
        <w:rPr>
          <w:rStyle w:val="32"/>
          <w:rFonts w:hint="eastAsia"/>
        </w:rPr>
        <w:t xml:space="preserve"> 等级划分</w:t>
      </w:r>
      <w:r>
        <w:tab/>
      </w:r>
      <w:r>
        <w:fldChar w:fldCharType="begin"/>
      </w:r>
      <w:r>
        <w:instrText xml:space="preserve"> PAGEREF _Toc170204989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"_Toc170204991" </w:instrText>
      </w:r>
      <w:r>
        <w:fldChar w:fldCharType="separate"/>
      </w:r>
      <w:r>
        <w:rPr>
          <w:rStyle w:val="32"/>
          <w:rFonts w:hint="eastAsia"/>
        </w:rPr>
        <w:t>附录A（资料性附录）</w:t>
      </w:r>
      <w:r>
        <w:rPr>
          <w:rStyle w:val="32"/>
        </w:rPr>
        <w:t xml:space="preserve"> </w:t>
      </w:r>
      <w:r>
        <w:rPr>
          <w:rStyle w:val="32"/>
          <w:rFonts w:hint="eastAsia"/>
        </w:rPr>
        <w:t>橄榄冻害防御措施</w:t>
      </w:r>
      <w:r>
        <w:tab/>
      </w:r>
      <w:r>
        <w:fldChar w:fldCharType="begin"/>
      </w:r>
      <w:r>
        <w:instrText xml:space="preserve"> PAGEREF _Toc170204991 \h </w:instrText>
      </w:r>
      <w:r>
        <w:fldChar w:fldCharType="separate"/>
      </w:r>
      <w:r>
        <w:t>5</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"_Toc170204992" </w:instrText>
      </w:r>
      <w:r>
        <w:fldChar w:fldCharType="separate"/>
      </w:r>
      <w:r>
        <w:rPr>
          <w:rStyle w:val="32"/>
          <w:rFonts w:hint="eastAsia"/>
        </w:rPr>
        <w:t>参考文献</w:t>
      </w:r>
      <w:r>
        <w:tab/>
      </w:r>
      <w:r>
        <w:fldChar w:fldCharType="begin"/>
      </w:r>
      <w:r>
        <w:instrText xml:space="preserve"> PAGEREF _Toc170204992 \h </w:instrText>
      </w:r>
      <w:r>
        <w:fldChar w:fldCharType="separate"/>
      </w:r>
      <w:r>
        <w:t>6</w:t>
      </w:r>
      <w:r>
        <w:fldChar w:fldCharType="end"/>
      </w:r>
      <w:r>
        <w:fldChar w:fldCharType="end"/>
      </w:r>
    </w:p>
    <w:p>
      <w:pPr>
        <w:pStyle w:val="91"/>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49" w:name="_Toc170204985"/>
      <w:bookmarkStart w:id="50" w:name="BookMark2"/>
      <w:r>
        <w:rPr>
          <w:spacing w:val="320"/>
        </w:rPr>
        <w:t>前</w:t>
      </w:r>
      <w:r>
        <w:t>言</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pPr>
        <w:pStyle w:val="56"/>
        <w:ind w:firstLine="420"/>
      </w:pPr>
      <w:r>
        <w:rPr>
          <w:rFonts w:hint="eastAsia"/>
        </w:rPr>
        <w:t>本标准按照GB/T 1.1—2020 《标准化工作导则  第1部分：标准化文件的结构和起草规则》的规定起草。</w:t>
      </w:r>
    </w:p>
    <w:p>
      <w:pPr>
        <w:pStyle w:val="56"/>
        <w:ind w:firstLine="420"/>
      </w:pPr>
      <w:r>
        <w:rPr>
          <w:rFonts w:hint="eastAsia"/>
        </w:rPr>
        <w:t>请注意本文件的某些内容可能涉及专利。本文件的发布机构不承担识别专利的责任。</w:t>
      </w:r>
    </w:p>
    <w:p>
      <w:pPr>
        <w:pStyle w:val="56"/>
        <w:ind w:firstLine="420"/>
      </w:pPr>
      <w:r>
        <w:rPr>
          <w:rFonts w:hint="eastAsia"/>
        </w:rPr>
        <w:t>本标准由福建省福州市气象局提出并归口。</w:t>
      </w:r>
    </w:p>
    <w:p>
      <w:pPr>
        <w:pStyle w:val="56"/>
        <w:ind w:firstLine="420"/>
      </w:pPr>
      <w:r>
        <w:rPr>
          <w:rFonts w:hint="eastAsia"/>
        </w:rPr>
        <w:t>本文件起草单位：福建省闽侯县气象局、福州农业气象试验站、福建省农业科学院果树研究所。</w:t>
      </w:r>
    </w:p>
    <w:p>
      <w:pPr>
        <w:pStyle w:val="56"/>
        <w:ind w:firstLine="420"/>
      </w:pPr>
      <w:r>
        <w:rPr>
          <w:rFonts w:hint="eastAsia"/>
        </w:rPr>
        <w:t>本文件主要起草人：张美花、苏荣瑞、陈偌怡、林瑞坤、赖瑞联、沈朝贵、吴如健。</w:t>
      </w:r>
    </w:p>
    <w:p>
      <w:pPr>
        <w:pStyle w:val="56"/>
        <w:ind w:firstLine="420"/>
      </w:pPr>
    </w:p>
    <w:p>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50"/>
    <w:p>
      <w:pPr>
        <w:spacing w:line="20" w:lineRule="exact"/>
        <w:jc w:val="center"/>
        <w:rPr>
          <w:rFonts w:ascii="黑体" w:hAnsi="黑体" w:eastAsia="黑体"/>
          <w:sz w:val="32"/>
          <w:szCs w:val="32"/>
        </w:rPr>
      </w:pPr>
      <w:bookmarkStart w:id="51" w:name="BookMark4"/>
    </w:p>
    <w:p>
      <w:pPr>
        <w:spacing w:line="20" w:lineRule="exact"/>
        <w:jc w:val="center"/>
        <w:rPr>
          <w:rFonts w:ascii="黑体" w:hAnsi="黑体" w:eastAsia="黑体"/>
          <w:sz w:val="32"/>
          <w:szCs w:val="32"/>
        </w:rPr>
      </w:pPr>
    </w:p>
    <w:sdt>
      <w:sdtPr>
        <w:tag w:val="NEW_STAND_NAME"/>
        <w:id w:val="595910757"/>
        <w:lock w:val="sdtLocked"/>
        <w:placeholder>
          <w:docPart w:val="3D7869FB0E664F7893103F65EFCC3FA4"/>
        </w:placeholder>
      </w:sdtPr>
      <w:sdtContent>
        <w:p>
          <w:pPr>
            <w:pStyle w:val="177"/>
            <w:spacing w:before="3" w:beforeLines="1" w:after="686" w:afterLines="220"/>
          </w:pPr>
          <w:bookmarkStart w:id="52" w:name="NEW_STAND_NAME"/>
          <w:r>
            <w:rPr>
              <w:rFonts w:hint="eastAsia"/>
            </w:rPr>
            <w:t>橄榄冻害等级</w:t>
          </w:r>
        </w:p>
      </w:sdtContent>
    </w:sdt>
    <w:bookmarkEnd w:id="52"/>
    <w:p>
      <w:pPr>
        <w:pStyle w:val="104"/>
        <w:spacing w:before="312" w:after="312"/>
      </w:pPr>
      <w:bookmarkStart w:id="53" w:name="_Toc166501316"/>
      <w:bookmarkStart w:id="54" w:name="_Toc170028739"/>
      <w:bookmarkStart w:id="55" w:name="_Toc24884211"/>
      <w:bookmarkStart w:id="56" w:name="_Toc166501349"/>
      <w:bookmarkStart w:id="57" w:name="_Toc167212147"/>
      <w:bookmarkStart w:id="58" w:name="_Toc24884218"/>
      <w:bookmarkStart w:id="59" w:name="_Toc167209552"/>
      <w:bookmarkStart w:id="60" w:name="_Toc132959363"/>
      <w:bookmarkStart w:id="61" w:name="_Toc26986771"/>
      <w:bookmarkStart w:id="62" w:name="_Toc132955566"/>
      <w:bookmarkStart w:id="63" w:name="_Toc132900940"/>
      <w:bookmarkStart w:id="64" w:name="_Toc132901109"/>
      <w:bookmarkStart w:id="65" w:name="_Toc132901084"/>
      <w:bookmarkStart w:id="66" w:name="_Toc167212037"/>
      <w:bookmarkStart w:id="67" w:name="_Toc132900889"/>
      <w:bookmarkStart w:id="68" w:name="_Toc169960441"/>
      <w:bookmarkStart w:id="69" w:name="_Toc170204986"/>
      <w:bookmarkStart w:id="70" w:name="_Toc169963959"/>
      <w:bookmarkStart w:id="71" w:name="_Toc26986530"/>
      <w:bookmarkStart w:id="72" w:name="_Toc132902463"/>
      <w:bookmarkStart w:id="73" w:name="_Toc166501278"/>
      <w:bookmarkStart w:id="74" w:name="_Toc26648465"/>
      <w:bookmarkStart w:id="75" w:name="_Toc166304878"/>
      <w:bookmarkStart w:id="76" w:name="_Toc26718930"/>
      <w:bookmarkStart w:id="77" w:name="_Toc169948357"/>
      <w:bookmarkStart w:id="78" w:name="_Toc132960197"/>
      <w:bookmarkStart w:id="79" w:name="_Toc132903030"/>
      <w:bookmarkStart w:id="80" w:name="_Toc132959791"/>
      <w:bookmarkStart w:id="81" w:name="_Toc134690246"/>
      <w:bookmarkStart w:id="82" w:name="_Toc97191423"/>
      <w:bookmarkStart w:id="83" w:name="_Toc17233333"/>
      <w:bookmarkStart w:id="84" w:name="_Toc132960136"/>
      <w:bookmarkStart w:id="85" w:name="_Toc132902387"/>
      <w:bookmarkStart w:id="86" w:name="_Toc132900910"/>
      <w:bookmarkStart w:id="87" w:name="_Toc132959334"/>
      <w:bookmarkStart w:id="88" w:name="_Toc17233325"/>
      <w:bookmarkStart w:id="89" w:name="_Toc169965131"/>
      <w:r>
        <w:rPr>
          <w:rFonts w:hint="eastAsia"/>
        </w:rPr>
        <w:t>范围</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pPr>
        <w:pStyle w:val="56"/>
        <w:ind w:firstLine="420"/>
      </w:pPr>
      <w:bookmarkStart w:id="90" w:name="_Toc17233326"/>
      <w:bookmarkStart w:id="91" w:name="_Toc24884219"/>
      <w:bookmarkStart w:id="92" w:name="_Toc26648466"/>
      <w:bookmarkStart w:id="93" w:name="_Toc17233334"/>
      <w:bookmarkStart w:id="94" w:name="_Toc24884212"/>
      <w:r>
        <w:t>本标准规定了橄榄冻害等级。</w:t>
      </w:r>
    </w:p>
    <w:p>
      <w:pPr>
        <w:pStyle w:val="56"/>
        <w:ind w:firstLine="420"/>
      </w:pPr>
      <w:r>
        <w:rPr>
          <w:rFonts w:hint="eastAsia"/>
        </w:rPr>
        <w:t>本标准适用于橄榄冻害监测、评估及预报预警等。</w:t>
      </w:r>
    </w:p>
    <w:bookmarkEnd w:id="90"/>
    <w:bookmarkEnd w:id="91"/>
    <w:bookmarkEnd w:id="92"/>
    <w:bookmarkEnd w:id="93"/>
    <w:bookmarkEnd w:id="94"/>
    <w:p>
      <w:pPr>
        <w:pStyle w:val="104"/>
        <w:spacing w:before="312" w:after="312"/>
      </w:pPr>
      <w:bookmarkStart w:id="95" w:name="_Toc169965132"/>
      <w:bookmarkStart w:id="96" w:name="_Toc170204987"/>
      <w:bookmarkStart w:id="97" w:name="_Toc169963960"/>
      <w:bookmarkStart w:id="98" w:name="_Toc169960442"/>
      <w:bookmarkStart w:id="99" w:name="_Toc170028740"/>
      <w:bookmarkStart w:id="100" w:name="_Toc167212038"/>
      <w:bookmarkStart w:id="101" w:name="_Toc169948358"/>
      <w:bookmarkStart w:id="102" w:name="_Toc167209553"/>
      <w:bookmarkStart w:id="103" w:name="_Toc167212148"/>
      <w:bookmarkStart w:id="104" w:name="_Toc132901085"/>
      <w:bookmarkStart w:id="105" w:name="_Toc132901110"/>
      <w:bookmarkStart w:id="106" w:name="_Toc132900912"/>
      <w:bookmarkStart w:id="107" w:name="_Toc132959364"/>
      <w:bookmarkStart w:id="108" w:name="_Toc132955567"/>
      <w:bookmarkStart w:id="109" w:name="_Toc166501350"/>
      <w:bookmarkStart w:id="110" w:name="_Toc97191425"/>
      <w:bookmarkStart w:id="111" w:name="_Toc132960198"/>
      <w:bookmarkStart w:id="112" w:name="_Toc132902388"/>
      <w:bookmarkStart w:id="113" w:name="_Toc132959792"/>
      <w:bookmarkStart w:id="114" w:name="_Toc132960137"/>
      <w:bookmarkStart w:id="115" w:name="_Toc132900891"/>
      <w:bookmarkStart w:id="116" w:name="_Toc132903031"/>
      <w:bookmarkStart w:id="117" w:name="_Toc166304879"/>
      <w:bookmarkStart w:id="118" w:name="_Toc132959335"/>
      <w:bookmarkStart w:id="119" w:name="_Toc166501317"/>
      <w:bookmarkStart w:id="120" w:name="_Toc134690247"/>
      <w:bookmarkStart w:id="121" w:name="_Toc132900942"/>
      <w:bookmarkStart w:id="122" w:name="_Toc166501279"/>
      <w:bookmarkStart w:id="123" w:name="_Toc132902464"/>
      <w:r>
        <w:t>规范性引用文件</w:t>
      </w:r>
      <w:bookmarkEnd w:id="95"/>
      <w:bookmarkEnd w:id="96"/>
      <w:bookmarkEnd w:id="97"/>
      <w:bookmarkEnd w:id="98"/>
      <w:bookmarkEnd w:id="99"/>
    </w:p>
    <w:p>
      <w:pPr>
        <w:pStyle w:val="56"/>
        <w:ind w:firstLine="420"/>
      </w:pPr>
      <w:r>
        <w:rPr>
          <w:rFonts w:hint="eastAsia"/>
        </w:rPr>
        <w:t>下列文件中的内容通过文中的规范性引用而构成本文件必不可少的条款。其中，注日期的引用文件仅该日期对应的版本适用于本文。</w:t>
      </w:r>
    </w:p>
    <w:p>
      <w:pPr>
        <w:pStyle w:val="56"/>
        <w:ind w:firstLine="420"/>
      </w:pPr>
      <w:r>
        <w:rPr>
          <w:rFonts w:hint="eastAsia"/>
        </w:rPr>
        <w:t>GB/T  35226-2017  地面气象观测规范  空气温度与湿度。</w:t>
      </w:r>
    </w:p>
    <w:p>
      <w:pPr>
        <w:pStyle w:val="104"/>
        <w:spacing w:before="312" w:after="312"/>
      </w:pPr>
      <w:bookmarkStart w:id="124" w:name="_Toc170028741"/>
      <w:bookmarkStart w:id="125" w:name="_Toc169963961"/>
      <w:bookmarkStart w:id="126" w:name="_Toc170204988"/>
      <w:bookmarkStart w:id="127" w:name="_Toc169960443"/>
      <w:bookmarkStart w:id="128" w:name="_Toc169965133"/>
      <w:r>
        <w:rPr>
          <w:rFonts w:hint="eastAsia"/>
          <w:szCs w:val="21"/>
        </w:rPr>
        <w:t>术语和定义</w:t>
      </w:r>
      <w:bookmarkEnd w:id="100"/>
      <w:bookmarkEnd w:id="101"/>
      <w:bookmarkEnd w:id="102"/>
      <w:bookmarkEnd w:id="103"/>
      <w:bookmarkEnd w:id="124"/>
      <w:bookmarkEnd w:id="125"/>
      <w:bookmarkEnd w:id="126"/>
      <w:bookmarkEnd w:id="127"/>
      <w:bookmarkEnd w:id="128"/>
    </w:p>
    <w:p>
      <w:pPr>
        <w:pStyle w:val="56"/>
        <w:ind w:firstLine="199" w:firstLineChars="95"/>
      </w:pPr>
      <w:r>
        <w:rPr>
          <w:rFonts w:hint="eastAsia"/>
          <w:szCs w:val="21"/>
        </w:rPr>
        <w:t xml:space="preserve">  </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r>
        <w:t>下列术语和定义适用于本文件。</w:t>
      </w:r>
    </w:p>
    <w:p>
      <w:pPr>
        <w:pStyle w:val="105"/>
        <w:spacing w:before="156" w:after="156"/>
      </w:pPr>
      <w:bookmarkStart w:id="129" w:name="_Toc167212039"/>
      <w:bookmarkEnd w:id="129"/>
      <w:bookmarkStart w:id="130" w:name="_Toc169948359"/>
      <w:bookmarkEnd w:id="130"/>
    </w:p>
    <w:p>
      <w:pPr>
        <w:pStyle w:val="56"/>
        <w:ind w:firstLine="422"/>
        <w:rPr>
          <w:b/>
        </w:rPr>
      </w:pPr>
      <w:r>
        <w:rPr>
          <w:rFonts w:hint="eastAsia"/>
          <w:b/>
        </w:rPr>
        <w:t>空气温度  air temperature</w:t>
      </w:r>
    </w:p>
    <w:p>
      <w:pPr>
        <w:pStyle w:val="56"/>
        <w:ind w:firstLine="420"/>
      </w:pPr>
      <w:r>
        <w:t>地面气象观测中测定百叶箱等防辐射装置中距地面</w:t>
      </w:r>
      <w:r>
        <w:rPr>
          <w:rFonts w:hint="eastAsia"/>
        </w:rPr>
        <w:t>1.5</w:t>
      </w:r>
      <w:r>
        <w:t>m高度的空气温度，简称气温</w:t>
      </w:r>
      <w:r>
        <w:rPr>
          <w:rFonts w:hint="eastAsia"/>
        </w:rPr>
        <w:t>。</w:t>
      </w:r>
    </w:p>
    <w:p>
      <w:pPr>
        <w:pStyle w:val="179"/>
      </w:pPr>
      <w:r>
        <w:rPr>
          <w:rFonts w:hint="eastAsia"/>
        </w:rPr>
        <w:t>单位为摄氏度（℃）。</w:t>
      </w:r>
    </w:p>
    <w:p>
      <w:pPr>
        <w:pStyle w:val="56"/>
        <w:ind w:firstLine="420"/>
      </w:pPr>
      <w:r>
        <w:rPr>
          <w:rFonts w:hint="eastAsia"/>
        </w:rPr>
        <w:t>[来源：GB/T  35226-2017 3.1]</w:t>
      </w:r>
    </w:p>
    <w:p>
      <w:pPr>
        <w:pStyle w:val="105"/>
        <w:spacing w:before="156" w:after="156"/>
        <w:rPr>
          <w:color w:val="000000" w:themeColor="text1"/>
          <w14:textFill>
            <w14:solidFill>
              <w14:schemeClr w14:val="tx1"/>
            </w14:solidFill>
          </w14:textFill>
        </w:rPr>
      </w:pPr>
    </w:p>
    <w:p>
      <w:pPr>
        <w:pStyle w:val="56"/>
        <w:ind w:firstLine="422"/>
        <w:rPr>
          <w:b/>
          <w:color w:val="000000" w:themeColor="text1"/>
          <w14:textFill>
            <w14:solidFill>
              <w14:schemeClr w14:val="tx1"/>
            </w14:solidFill>
          </w14:textFill>
        </w:rPr>
      </w:pPr>
      <w:r>
        <w:rPr>
          <w:rFonts w:hint="eastAsia"/>
          <w:b/>
          <w:color w:val="000000" w:themeColor="text1"/>
          <w14:textFill>
            <w14:solidFill>
              <w14:schemeClr w14:val="tx1"/>
            </w14:solidFill>
          </w14:textFill>
        </w:rPr>
        <w:t>日最低气温  daily minimum air temperature</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前一日20时（北京时）至当日20时之间气温的最低值。</w:t>
      </w:r>
    </w:p>
    <w:p>
      <w:pPr>
        <w:pStyle w:val="179"/>
      </w:pPr>
      <w:r>
        <w:rPr>
          <w:rFonts w:hint="eastAsia"/>
        </w:rPr>
        <w:t>单位为摄氏度（℃）。</w:t>
      </w:r>
    </w:p>
    <w:p>
      <w:pPr>
        <w:pStyle w:val="105"/>
        <w:spacing w:before="156" w:after="156"/>
      </w:pPr>
      <w:bookmarkStart w:id="131" w:name="_Toc169948360"/>
      <w:bookmarkEnd w:id="131"/>
      <w:bookmarkStart w:id="132" w:name="_Toc167212040"/>
      <w:bookmarkEnd w:id="132"/>
      <w:bookmarkStart w:id="133" w:name="_Toc167212041"/>
      <w:bookmarkEnd w:id="133"/>
    </w:p>
    <w:p>
      <w:pPr>
        <w:pStyle w:val="56"/>
        <w:ind w:firstLine="422"/>
        <w:rPr>
          <w:b/>
        </w:rPr>
      </w:pPr>
      <w:r>
        <w:rPr>
          <w:rFonts w:hint="eastAsia"/>
          <w:b/>
        </w:rPr>
        <w:t xml:space="preserve">橄榄园气温  </w:t>
      </w:r>
      <w:r>
        <w:rPr>
          <w:rFonts w:hint="eastAsia"/>
          <w:b/>
          <w:color w:val="000000" w:themeColor="text1"/>
          <w14:textFill>
            <w14:solidFill>
              <w14:schemeClr w14:val="tx1"/>
            </w14:solidFill>
          </w14:textFill>
        </w:rPr>
        <w:t>air temperature</w:t>
      </w:r>
      <w:r>
        <w:rPr>
          <w:b/>
          <w:color w:val="000000" w:themeColor="text1"/>
          <w14:textFill>
            <w14:solidFill>
              <w14:schemeClr w14:val="tx1"/>
            </w14:solidFill>
          </w14:textFill>
        </w:rPr>
        <w:t xml:space="preserve"> of Chinese olive garden</w:t>
      </w:r>
    </w:p>
    <w:p>
      <w:pPr>
        <w:pStyle w:val="56"/>
        <w:ind w:firstLine="420"/>
      </w:pPr>
      <w:r>
        <w:t>橄榄园内空气温度。</w:t>
      </w:r>
    </w:p>
    <w:p>
      <w:pPr>
        <w:pStyle w:val="179"/>
      </w:pPr>
      <w:r>
        <w:rPr>
          <w:rFonts w:hint="eastAsia"/>
        </w:rPr>
        <w:t>单位为摄氏度（℃）。</w:t>
      </w:r>
    </w:p>
    <w:p>
      <w:pPr>
        <w:pStyle w:val="105"/>
        <w:spacing w:before="156" w:after="156"/>
      </w:pPr>
      <w:bookmarkStart w:id="134" w:name="_Toc169948361"/>
      <w:bookmarkEnd w:id="134"/>
    </w:p>
    <w:p>
      <w:pPr>
        <w:pStyle w:val="56"/>
        <w:ind w:firstLine="632" w:firstLineChars="300"/>
        <w:rPr>
          <w:b/>
        </w:rPr>
      </w:pPr>
      <w:r>
        <w:rPr>
          <w:rFonts w:hint="eastAsia"/>
          <w:b/>
        </w:rPr>
        <w:t xml:space="preserve">橄榄冻害  </w:t>
      </w:r>
      <w:r>
        <w:rPr>
          <w:b/>
        </w:rPr>
        <w:t>freezing injury to Chinese olive tree</w:t>
      </w:r>
    </w:p>
    <w:p>
      <w:pPr>
        <w:pStyle w:val="56"/>
        <w:ind w:firstLine="630" w:firstLineChars="300"/>
      </w:pPr>
      <w:r>
        <w:t>橄榄树休眠期（</w:t>
      </w:r>
      <w:r>
        <w:rPr>
          <w:rFonts w:hint="eastAsia"/>
        </w:rPr>
        <w:t>12月</w:t>
      </w:r>
      <w:r>
        <w:rPr>
          <w:rFonts w:hint="eastAsia" w:hAnsi="宋体"/>
        </w:rPr>
        <w:t>～</w:t>
      </w:r>
      <w:r>
        <w:rPr>
          <w:rFonts w:hint="eastAsia"/>
        </w:rPr>
        <w:t>翌年2月）橄榄园气温下降到橄榄受害或致死的临界温度以下，使橄榄叶片、顶芽、枝梢、枝条、枝干等受到损害或死亡的一种农业气象灾害。</w:t>
      </w:r>
    </w:p>
    <w:p>
      <w:pPr>
        <w:pStyle w:val="179"/>
      </w:pPr>
      <w:r>
        <w:rPr>
          <w:rFonts w:hint="eastAsia"/>
        </w:rPr>
        <w:t>橄榄冻害防御措施参见附录A。</w:t>
      </w:r>
    </w:p>
    <w:p>
      <w:pPr>
        <w:pStyle w:val="56"/>
        <w:ind w:firstLine="420"/>
      </w:pPr>
    </w:p>
    <w:p>
      <w:pPr>
        <w:pStyle w:val="56"/>
        <w:ind w:firstLine="420"/>
      </w:pPr>
    </w:p>
    <w:p>
      <w:pPr>
        <w:pStyle w:val="104"/>
        <w:spacing w:before="312" w:after="312"/>
      </w:pPr>
      <w:bookmarkStart w:id="135" w:name="_Toc170028742"/>
      <w:bookmarkStart w:id="136" w:name="_Toc169965134"/>
      <w:bookmarkStart w:id="137" w:name="_Toc169960448"/>
      <w:bookmarkStart w:id="138" w:name="_Toc169963966"/>
      <w:bookmarkStart w:id="139" w:name="_Toc170204989"/>
      <w:bookmarkStart w:id="140" w:name="_Toc169948362"/>
      <w:r>
        <w:t>等级划分</w:t>
      </w:r>
      <w:bookmarkEnd w:id="135"/>
      <w:bookmarkEnd w:id="136"/>
      <w:bookmarkEnd w:id="137"/>
      <w:bookmarkEnd w:id="138"/>
      <w:bookmarkEnd w:id="139"/>
      <w:bookmarkEnd w:id="140"/>
    </w:p>
    <w:p>
      <w:pPr>
        <w:pStyle w:val="105"/>
        <w:spacing w:before="156" w:after="156"/>
        <w:ind w:left="708" w:leftChars="67" w:hanging="567" w:hangingChars="270"/>
        <w:rPr>
          <w:color w:val="000000" w:themeColor="text1"/>
          <w14:textFill>
            <w14:solidFill>
              <w14:schemeClr w14:val="tx1"/>
            </w14:solidFill>
          </w14:textFill>
        </w:rPr>
      </w:pPr>
      <w:bookmarkStart w:id="141" w:name="_Toc169960449"/>
      <w:bookmarkStart w:id="142" w:name="_Toc169948363"/>
      <w:bookmarkStart w:id="143" w:name="_Toc169963967"/>
      <w:r>
        <w:rPr>
          <w:rFonts w:hint="eastAsia"/>
          <w:color w:val="000000" w:themeColor="text1"/>
          <w14:textFill>
            <w14:solidFill>
              <w14:schemeClr w14:val="tx1"/>
            </w14:solidFill>
          </w14:textFill>
        </w:rPr>
        <w:t>气象指标</w:t>
      </w:r>
      <w:bookmarkEnd w:id="141"/>
      <w:bookmarkEnd w:id="142"/>
      <w:bookmarkEnd w:id="143"/>
    </w:p>
    <w:p>
      <w:pPr>
        <w:pStyle w:val="56"/>
        <w:ind w:firstLine="409" w:firstLineChars="195"/>
      </w:pPr>
      <w:r>
        <w:rPr>
          <w:rFonts w:hint="eastAsia"/>
        </w:rPr>
        <w:t>在橄榄树休眠期，以橄榄园日最低气温及其低温持续天数作为冻害等级划分指标。</w:t>
      </w:r>
    </w:p>
    <w:p>
      <w:pPr>
        <w:pStyle w:val="105"/>
        <w:spacing w:before="156" w:after="156"/>
        <w:ind w:left="424" w:leftChars="67" w:hanging="283" w:hangingChars="135"/>
      </w:pPr>
      <w:bookmarkStart w:id="144" w:name="_Toc169963968"/>
      <w:bookmarkStart w:id="145" w:name="_Toc169948364"/>
      <w:bookmarkStart w:id="146" w:name="_Toc169960450"/>
      <w:r>
        <w:t>等级</w:t>
      </w:r>
      <w:bookmarkEnd w:id="144"/>
      <w:bookmarkEnd w:id="145"/>
      <w:bookmarkEnd w:id="146"/>
      <w:r>
        <w:t>划分</w:t>
      </w:r>
    </w:p>
    <w:p>
      <w:pPr>
        <w:pStyle w:val="56"/>
        <w:ind w:firstLine="409" w:firstLineChars="195"/>
      </w:pPr>
      <w:r>
        <w:rPr>
          <w:rFonts w:hint="eastAsia"/>
        </w:rPr>
        <w:t>橄榄冻害等级划分为轻度、中度、重度和严重4个等级，冻害等级判定标准及受害症状见表1。</w:t>
      </w:r>
    </w:p>
    <w:p>
      <w:pPr>
        <w:pStyle w:val="112"/>
        <w:spacing w:before="156" w:after="156"/>
      </w:pPr>
      <w:bookmarkStart w:id="147" w:name="_Toc132959344"/>
      <w:bookmarkStart w:id="148" w:name="_Toc132959373"/>
      <w:bookmarkStart w:id="149" w:name="_Toc132959802"/>
      <w:r>
        <w:rPr>
          <w:rFonts w:hint="eastAsia"/>
        </w:rPr>
        <w:t>橄榄冻害等级判定标准及受害症状</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87"/>
        <w:gridCol w:w="2125"/>
        <w:gridCol w:w="1263"/>
        <w:gridCol w:w="469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1288" w:type="dxa"/>
            <w:vMerge w:val="restart"/>
            <w:tcBorders>
              <w:top w:val="single" w:color="auto" w:sz="8" w:space="0"/>
            </w:tcBorders>
            <w:shd w:val="clear" w:color="auto" w:fill="auto"/>
            <w:vAlign w:val="center"/>
          </w:tcPr>
          <w:p>
            <w:pPr>
              <w:pStyle w:val="178"/>
            </w:pPr>
            <w:r>
              <w:rPr>
                <w:rFonts w:hint="eastAsia"/>
              </w:rPr>
              <w:t>等级</w:t>
            </w:r>
          </w:p>
        </w:tc>
        <w:tc>
          <w:tcPr>
            <w:tcW w:w="3390" w:type="dxa"/>
            <w:gridSpan w:val="2"/>
            <w:tcBorders>
              <w:top w:val="single" w:color="auto" w:sz="8" w:space="0"/>
              <w:bottom w:val="single" w:color="auto" w:sz="8" w:space="0"/>
            </w:tcBorders>
          </w:tcPr>
          <w:p>
            <w:pPr>
              <w:pStyle w:val="178"/>
              <w:rPr>
                <w:vertAlign w:val="subscript"/>
              </w:rPr>
            </w:pPr>
            <w:r>
              <w:rPr>
                <w:rFonts w:hint="eastAsia"/>
              </w:rPr>
              <w:t>气象指标</w:t>
            </w:r>
          </w:p>
        </w:tc>
        <w:tc>
          <w:tcPr>
            <w:tcW w:w="4700" w:type="dxa"/>
            <w:vMerge w:val="restart"/>
            <w:tcBorders>
              <w:top w:val="single" w:color="auto" w:sz="8" w:space="0"/>
            </w:tcBorders>
            <w:shd w:val="clear" w:color="auto" w:fill="auto"/>
            <w:vAlign w:val="center"/>
          </w:tcPr>
          <w:p>
            <w:pPr>
              <w:pStyle w:val="178"/>
            </w:pPr>
            <w:r>
              <w:rPr>
                <w:rFonts w:hint="eastAsia"/>
              </w:rPr>
              <w:t>受害症状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6" w:hRule="atLeast"/>
          <w:jc w:val="center"/>
        </w:trPr>
        <w:tc>
          <w:tcPr>
            <w:tcW w:w="1288" w:type="dxa"/>
            <w:vMerge w:val="continue"/>
            <w:shd w:val="clear" w:color="auto" w:fill="auto"/>
            <w:vAlign w:val="center"/>
          </w:tcPr>
          <w:p>
            <w:pPr>
              <w:pStyle w:val="178"/>
            </w:pPr>
          </w:p>
        </w:tc>
        <w:tc>
          <w:tcPr>
            <w:tcW w:w="2126" w:type="dxa"/>
          </w:tcPr>
          <w:p>
            <w:pPr>
              <w:pStyle w:val="178"/>
              <w:rPr>
                <w:rFonts w:hint="eastAsia"/>
              </w:rPr>
            </w:pPr>
            <w:r>
              <w:rPr>
                <w:rFonts w:hint="eastAsia"/>
              </w:rPr>
              <w:t>橄榄园日最低气温</w:t>
            </w:r>
          </w:p>
          <w:p>
            <w:pPr>
              <w:pStyle w:val="178"/>
              <w:rPr>
                <w:rFonts w:ascii="Times New Roman"/>
                <w:color w:val="FF0000"/>
              </w:rPr>
            </w:pPr>
            <w:r>
              <w:rPr>
                <w:rFonts w:ascii="Times New Roman"/>
                <w:i/>
              </w:rPr>
              <w:t>T</w:t>
            </w:r>
            <w:r>
              <w:rPr>
                <w:rFonts w:ascii="Times New Roman"/>
                <w:i/>
                <w:vertAlign w:val="subscript"/>
              </w:rPr>
              <w:t>min</w:t>
            </w:r>
            <w:r>
              <w:rPr>
                <w:rFonts w:hint="eastAsia" w:ascii="Times New Roman"/>
                <w:i/>
                <w:vertAlign w:val="baseline"/>
                <w:lang w:val="en-US" w:eastAsia="zh-CN"/>
              </w:rPr>
              <w:t>/</w:t>
            </w:r>
            <w:r>
              <w:rPr>
                <w:rFonts w:hint="eastAsia" w:hAnsi="宋体" w:cs="宋体"/>
              </w:rPr>
              <w:t>℃</w:t>
            </w:r>
          </w:p>
        </w:tc>
        <w:tc>
          <w:tcPr>
            <w:tcW w:w="1264" w:type="dxa"/>
            <w:shd w:val="clear" w:color="auto" w:fill="auto"/>
            <w:vAlign w:val="center"/>
          </w:tcPr>
          <w:p>
            <w:pPr>
              <w:pStyle w:val="178"/>
              <w:rPr>
                <w:i/>
              </w:rPr>
            </w:pPr>
            <w:r>
              <w:rPr>
                <w:rFonts w:hint="eastAsia"/>
              </w:rPr>
              <w:t>持续天数</w:t>
            </w:r>
            <w:r>
              <w:rPr>
                <w:rFonts w:ascii="Times New Roman"/>
                <w:i/>
              </w:rPr>
              <w:t>D</w:t>
            </w:r>
          </w:p>
          <w:p>
            <w:pPr>
              <w:pStyle w:val="178"/>
              <w:rPr>
                <w:rFonts w:ascii="Times New Roman"/>
                <w:color w:val="FF0000"/>
              </w:rPr>
            </w:pPr>
            <w:r>
              <w:rPr>
                <w:rFonts w:ascii="Times New Roman"/>
              </w:rPr>
              <w:t>d</w:t>
            </w:r>
          </w:p>
        </w:tc>
        <w:tc>
          <w:tcPr>
            <w:tcW w:w="4700" w:type="dxa"/>
            <w:vMerge w:val="continue"/>
            <w:shd w:val="clear" w:color="auto" w:fill="auto"/>
            <w:vAlign w:val="center"/>
          </w:tcPr>
          <w:p>
            <w:pPr>
              <w:pStyle w:val="178"/>
              <w:jc w:val="left"/>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1288" w:type="dxa"/>
            <w:vMerge w:val="restart"/>
            <w:shd w:val="clear" w:color="auto" w:fill="auto"/>
            <w:vAlign w:val="center"/>
          </w:tcPr>
          <w:p>
            <w:pPr>
              <w:pStyle w:val="178"/>
            </w:pPr>
            <w:r>
              <w:rPr>
                <w:rFonts w:hint="eastAsia"/>
              </w:rPr>
              <w:t>轻度冻害</w:t>
            </w:r>
          </w:p>
        </w:tc>
        <w:tc>
          <w:tcPr>
            <w:tcW w:w="2126" w:type="dxa"/>
            <w:vAlign w:val="center"/>
          </w:tcPr>
          <w:p>
            <w:pPr>
              <w:pStyle w:val="178"/>
            </w:pPr>
            <w:r>
              <w:rPr>
                <w:rFonts w:hint="eastAsia"/>
              </w:rPr>
              <w:t>-2.0≤</w:t>
            </w:r>
            <w:r>
              <w:rPr>
                <w:rFonts w:ascii="Times New Roman"/>
                <w:i/>
              </w:rPr>
              <w:t>T</w:t>
            </w:r>
            <w:r>
              <w:rPr>
                <w:rFonts w:ascii="Times New Roman"/>
                <w:i/>
                <w:vertAlign w:val="subscript"/>
              </w:rPr>
              <w:t>min</w:t>
            </w:r>
            <w:r>
              <w:rPr>
                <w:rFonts w:hint="eastAsia"/>
              </w:rPr>
              <w:t>＜-1.5</w:t>
            </w:r>
          </w:p>
        </w:tc>
        <w:tc>
          <w:tcPr>
            <w:tcW w:w="1264" w:type="dxa"/>
            <w:shd w:val="clear" w:color="auto" w:fill="auto"/>
            <w:vAlign w:val="center"/>
          </w:tcPr>
          <w:p>
            <w:pPr>
              <w:pStyle w:val="178"/>
            </w:pPr>
            <w:r>
              <w:rPr>
                <w:rFonts w:hint="eastAsia"/>
              </w:rPr>
              <w:t>≥1</w:t>
            </w:r>
          </w:p>
        </w:tc>
        <w:tc>
          <w:tcPr>
            <w:tcW w:w="4700" w:type="dxa"/>
            <w:vMerge w:val="restart"/>
            <w:shd w:val="clear" w:color="auto" w:fill="auto"/>
            <w:vAlign w:val="center"/>
          </w:tcPr>
          <w:p>
            <w:pPr>
              <w:pStyle w:val="178"/>
              <w:jc w:val="left"/>
            </w:pPr>
            <w:r>
              <w:rPr>
                <w:rFonts w:hint="eastAsia"/>
              </w:rPr>
              <w:t>树冠顶部及外围部分叶片变色（由绿色变为黄褐色）和干枯、部分顶芽失水萎缩，对当年产量和树势影响不大。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1288" w:type="dxa"/>
            <w:vMerge w:val="continue"/>
            <w:shd w:val="clear" w:color="auto" w:fill="auto"/>
            <w:vAlign w:val="center"/>
          </w:tcPr>
          <w:p>
            <w:pPr>
              <w:pStyle w:val="178"/>
            </w:pPr>
          </w:p>
        </w:tc>
        <w:tc>
          <w:tcPr>
            <w:tcW w:w="2126" w:type="dxa"/>
            <w:vAlign w:val="center"/>
          </w:tcPr>
          <w:p>
            <w:pPr>
              <w:pStyle w:val="178"/>
            </w:pPr>
            <w:r>
              <w:rPr>
                <w:rFonts w:hint="eastAsia"/>
              </w:rPr>
              <w:t>-2.5≤</w:t>
            </w:r>
            <w:r>
              <w:rPr>
                <w:rFonts w:ascii="Times New Roman"/>
                <w:i/>
              </w:rPr>
              <w:t>T</w:t>
            </w:r>
            <w:r>
              <w:rPr>
                <w:rFonts w:ascii="Times New Roman"/>
                <w:i/>
                <w:vertAlign w:val="subscript"/>
              </w:rPr>
              <w:t>min</w:t>
            </w:r>
            <w:r>
              <w:rPr>
                <w:rFonts w:hint="eastAsia"/>
              </w:rPr>
              <w:t>＜-2.0</w:t>
            </w:r>
          </w:p>
        </w:tc>
        <w:tc>
          <w:tcPr>
            <w:tcW w:w="1264" w:type="dxa"/>
            <w:shd w:val="clear" w:color="auto" w:fill="auto"/>
            <w:vAlign w:val="center"/>
          </w:tcPr>
          <w:p>
            <w:pPr>
              <w:pStyle w:val="178"/>
            </w:pPr>
            <w:r>
              <w:rPr>
                <w:rFonts w:hint="eastAsia"/>
              </w:rPr>
              <w:t>1</w:t>
            </w:r>
          </w:p>
        </w:tc>
        <w:tc>
          <w:tcPr>
            <w:tcW w:w="4700" w:type="dxa"/>
            <w:vMerge w:val="continue"/>
            <w:shd w:val="clear" w:color="auto" w:fill="auto"/>
            <w:vAlign w:val="center"/>
          </w:tcPr>
          <w:p>
            <w:pPr>
              <w:pStyle w:val="178"/>
              <w:jc w:val="left"/>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6" w:hRule="atLeast"/>
          <w:jc w:val="center"/>
        </w:trPr>
        <w:tc>
          <w:tcPr>
            <w:tcW w:w="1288" w:type="dxa"/>
            <w:vMerge w:val="restart"/>
            <w:shd w:val="clear" w:color="auto" w:fill="auto"/>
            <w:vAlign w:val="center"/>
          </w:tcPr>
          <w:p>
            <w:pPr>
              <w:pStyle w:val="178"/>
            </w:pPr>
            <w:r>
              <w:rPr>
                <w:rFonts w:hint="eastAsia"/>
              </w:rPr>
              <w:t>中度冻害</w:t>
            </w:r>
          </w:p>
        </w:tc>
        <w:tc>
          <w:tcPr>
            <w:tcW w:w="2126" w:type="dxa"/>
            <w:vAlign w:val="center"/>
          </w:tcPr>
          <w:p>
            <w:pPr>
              <w:pStyle w:val="178"/>
            </w:pPr>
            <w:r>
              <w:rPr>
                <w:rFonts w:hint="eastAsia"/>
              </w:rPr>
              <w:t>-2.5≤</w:t>
            </w:r>
            <w:r>
              <w:rPr>
                <w:rFonts w:ascii="Times New Roman"/>
                <w:i/>
              </w:rPr>
              <w:t>T</w:t>
            </w:r>
            <w:r>
              <w:rPr>
                <w:rFonts w:ascii="Times New Roman"/>
                <w:i/>
                <w:vertAlign w:val="subscript"/>
              </w:rPr>
              <w:t>min</w:t>
            </w:r>
            <w:r>
              <w:rPr>
                <w:rFonts w:hint="eastAsia"/>
              </w:rPr>
              <w:t>＜-2.0</w:t>
            </w:r>
          </w:p>
        </w:tc>
        <w:tc>
          <w:tcPr>
            <w:tcW w:w="1264" w:type="dxa"/>
            <w:shd w:val="clear" w:color="auto" w:fill="auto"/>
            <w:vAlign w:val="center"/>
          </w:tcPr>
          <w:p>
            <w:pPr>
              <w:pStyle w:val="178"/>
            </w:pPr>
            <w:r>
              <w:rPr>
                <w:rFonts w:hint="eastAsia"/>
              </w:rPr>
              <w:t>≥2</w:t>
            </w:r>
          </w:p>
        </w:tc>
        <w:tc>
          <w:tcPr>
            <w:tcW w:w="4700" w:type="dxa"/>
            <w:vMerge w:val="restart"/>
            <w:shd w:val="clear" w:color="auto" w:fill="auto"/>
            <w:vAlign w:val="center"/>
          </w:tcPr>
          <w:p>
            <w:pPr>
              <w:pStyle w:val="178"/>
              <w:jc w:val="left"/>
            </w:pPr>
            <w:r>
              <w:rPr>
                <w:rFonts w:hint="eastAsia"/>
              </w:rPr>
              <w:t>树冠顶部及外围叶片变色（由绿色变为黄褐色）和干枯，枝梢横切中心变褐（或黑）色、影响当年产量和树势。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1288" w:type="dxa"/>
            <w:vMerge w:val="continue"/>
            <w:shd w:val="clear" w:color="auto" w:fill="auto"/>
            <w:vAlign w:val="center"/>
          </w:tcPr>
          <w:p>
            <w:pPr>
              <w:pStyle w:val="178"/>
            </w:pPr>
          </w:p>
        </w:tc>
        <w:tc>
          <w:tcPr>
            <w:tcW w:w="2126" w:type="dxa"/>
            <w:vAlign w:val="center"/>
          </w:tcPr>
          <w:p>
            <w:pPr>
              <w:pStyle w:val="178"/>
            </w:pPr>
            <w:r>
              <w:rPr>
                <w:rFonts w:hint="eastAsia"/>
              </w:rPr>
              <w:t>-3.0≤</w:t>
            </w:r>
            <w:r>
              <w:rPr>
                <w:rFonts w:ascii="Times New Roman"/>
                <w:i/>
              </w:rPr>
              <w:t>T</w:t>
            </w:r>
            <w:r>
              <w:rPr>
                <w:rFonts w:ascii="Times New Roman"/>
                <w:i/>
                <w:vertAlign w:val="subscript"/>
              </w:rPr>
              <w:t>min</w:t>
            </w:r>
            <w:r>
              <w:rPr>
                <w:rFonts w:hint="eastAsia"/>
              </w:rPr>
              <w:t>＜-2.5</w:t>
            </w:r>
          </w:p>
        </w:tc>
        <w:tc>
          <w:tcPr>
            <w:tcW w:w="1264" w:type="dxa"/>
            <w:shd w:val="clear" w:color="auto" w:fill="auto"/>
            <w:vAlign w:val="center"/>
          </w:tcPr>
          <w:p>
            <w:pPr>
              <w:pStyle w:val="178"/>
            </w:pPr>
            <w:r>
              <w:rPr>
                <w:rFonts w:hint="eastAsia"/>
              </w:rPr>
              <w:t>1</w:t>
            </w:r>
          </w:p>
        </w:tc>
        <w:tc>
          <w:tcPr>
            <w:tcW w:w="4700" w:type="dxa"/>
            <w:vMerge w:val="continue"/>
            <w:shd w:val="clear" w:color="auto" w:fill="auto"/>
            <w:vAlign w:val="center"/>
          </w:tcPr>
          <w:p>
            <w:pPr>
              <w:pStyle w:val="178"/>
              <w:jc w:val="left"/>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6" w:hRule="atLeast"/>
          <w:jc w:val="center"/>
        </w:trPr>
        <w:tc>
          <w:tcPr>
            <w:tcW w:w="1288" w:type="dxa"/>
            <w:vMerge w:val="restart"/>
            <w:shd w:val="clear" w:color="auto" w:fill="auto"/>
            <w:vAlign w:val="center"/>
          </w:tcPr>
          <w:p>
            <w:pPr>
              <w:pStyle w:val="178"/>
            </w:pPr>
            <w:r>
              <w:rPr>
                <w:rFonts w:hint="eastAsia"/>
              </w:rPr>
              <w:t>重度冻害</w:t>
            </w:r>
          </w:p>
        </w:tc>
        <w:tc>
          <w:tcPr>
            <w:tcW w:w="2126" w:type="dxa"/>
            <w:vAlign w:val="center"/>
          </w:tcPr>
          <w:p>
            <w:pPr>
              <w:pStyle w:val="178"/>
            </w:pPr>
            <w:r>
              <w:rPr>
                <w:rFonts w:hint="eastAsia"/>
              </w:rPr>
              <w:t>-3.0≤</w:t>
            </w:r>
            <w:r>
              <w:rPr>
                <w:rFonts w:ascii="Times New Roman"/>
                <w:i/>
              </w:rPr>
              <w:t>T</w:t>
            </w:r>
            <w:r>
              <w:rPr>
                <w:rFonts w:ascii="Times New Roman"/>
                <w:i/>
                <w:vertAlign w:val="subscript"/>
              </w:rPr>
              <w:t>min</w:t>
            </w:r>
            <w:r>
              <w:rPr>
                <w:rFonts w:hint="eastAsia"/>
              </w:rPr>
              <w:t>＜-2.5</w:t>
            </w:r>
          </w:p>
        </w:tc>
        <w:tc>
          <w:tcPr>
            <w:tcW w:w="1264" w:type="dxa"/>
            <w:shd w:val="clear" w:color="auto" w:fill="auto"/>
            <w:vAlign w:val="center"/>
          </w:tcPr>
          <w:p>
            <w:pPr>
              <w:pStyle w:val="178"/>
            </w:pPr>
            <w:r>
              <w:rPr>
                <w:rFonts w:hint="eastAsia"/>
              </w:rPr>
              <w:t>≥2</w:t>
            </w:r>
          </w:p>
        </w:tc>
        <w:tc>
          <w:tcPr>
            <w:tcW w:w="4700" w:type="dxa"/>
            <w:vMerge w:val="restart"/>
            <w:shd w:val="clear" w:color="auto" w:fill="auto"/>
            <w:vAlign w:val="center"/>
          </w:tcPr>
          <w:p>
            <w:pPr>
              <w:pStyle w:val="178"/>
              <w:jc w:val="left"/>
            </w:pPr>
            <w:r>
              <w:rPr>
                <w:rFonts w:hint="eastAsia"/>
              </w:rPr>
              <w:t>全树叶片变色（由绿色变为黄褐色）和干枯，1</w:t>
            </w:r>
            <w:r>
              <w:rPr>
                <w:rFonts w:hint="eastAsia"/>
                <w:lang w:eastAsia="zh-CN"/>
              </w:rPr>
              <w:t>年</w:t>
            </w:r>
            <w:r>
              <w:rPr>
                <w:rFonts w:hint="eastAsia" w:hAnsi="宋体"/>
              </w:rPr>
              <w:t>～</w:t>
            </w:r>
            <w:r>
              <w:rPr>
                <w:rFonts w:hint="eastAsia"/>
              </w:rPr>
              <w:t>2年生枝条横切中心变为深褐（或黑）色，影响</w:t>
            </w:r>
            <w:r>
              <w:rPr>
                <w:rFonts w:hint="eastAsia"/>
                <w:lang w:val="en-US" w:eastAsia="zh-CN"/>
              </w:rPr>
              <w:t>2</w:t>
            </w:r>
            <w:r>
              <w:rPr>
                <w:rFonts w:hint="eastAsia"/>
              </w:rPr>
              <w:t>年产量和树势大衰。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1288" w:type="dxa"/>
            <w:vMerge w:val="continue"/>
            <w:shd w:val="clear" w:color="auto" w:fill="auto"/>
            <w:vAlign w:val="center"/>
          </w:tcPr>
          <w:p>
            <w:pPr>
              <w:pStyle w:val="178"/>
            </w:pPr>
          </w:p>
        </w:tc>
        <w:tc>
          <w:tcPr>
            <w:tcW w:w="2126" w:type="dxa"/>
            <w:vAlign w:val="center"/>
          </w:tcPr>
          <w:p>
            <w:pPr>
              <w:pStyle w:val="178"/>
            </w:pPr>
            <w:r>
              <w:rPr>
                <w:rFonts w:hint="eastAsia"/>
              </w:rPr>
              <w:t>-3.5≤</w:t>
            </w:r>
            <w:r>
              <w:rPr>
                <w:rFonts w:ascii="Times New Roman"/>
                <w:i/>
              </w:rPr>
              <w:t>T</w:t>
            </w:r>
            <w:r>
              <w:rPr>
                <w:rFonts w:ascii="Times New Roman"/>
                <w:i/>
                <w:vertAlign w:val="subscript"/>
              </w:rPr>
              <w:t>min</w:t>
            </w:r>
            <w:r>
              <w:rPr>
                <w:rFonts w:hint="eastAsia"/>
              </w:rPr>
              <w:t>＜-3.0</w:t>
            </w:r>
          </w:p>
        </w:tc>
        <w:tc>
          <w:tcPr>
            <w:tcW w:w="1264" w:type="dxa"/>
            <w:shd w:val="clear" w:color="auto" w:fill="auto"/>
            <w:vAlign w:val="center"/>
          </w:tcPr>
          <w:p>
            <w:pPr>
              <w:pStyle w:val="178"/>
            </w:pPr>
            <w:r>
              <w:rPr>
                <w:rFonts w:hint="eastAsia"/>
              </w:rPr>
              <w:t>1</w:t>
            </w:r>
          </w:p>
        </w:tc>
        <w:tc>
          <w:tcPr>
            <w:tcW w:w="4700" w:type="dxa"/>
            <w:vMerge w:val="continue"/>
            <w:shd w:val="clear" w:color="auto" w:fill="auto"/>
            <w:vAlign w:val="center"/>
          </w:tcPr>
          <w:p>
            <w:pPr>
              <w:pStyle w:val="178"/>
              <w:jc w:val="left"/>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33" w:hRule="atLeast"/>
          <w:jc w:val="center"/>
        </w:trPr>
        <w:tc>
          <w:tcPr>
            <w:tcW w:w="1288" w:type="dxa"/>
            <w:vMerge w:val="restart"/>
            <w:shd w:val="clear" w:color="auto" w:fill="auto"/>
            <w:vAlign w:val="center"/>
          </w:tcPr>
          <w:p>
            <w:pPr>
              <w:pStyle w:val="178"/>
            </w:pPr>
            <w:r>
              <w:rPr>
                <w:rFonts w:hint="eastAsia"/>
              </w:rPr>
              <w:t>严重冻害</w:t>
            </w:r>
          </w:p>
        </w:tc>
        <w:tc>
          <w:tcPr>
            <w:tcW w:w="2126" w:type="dxa"/>
            <w:vAlign w:val="center"/>
          </w:tcPr>
          <w:p>
            <w:pPr>
              <w:pStyle w:val="178"/>
            </w:pPr>
            <w:r>
              <w:rPr>
                <w:rFonts w:hint="eastAsia"/>
              </w:rPr>
              <w:t>-3.5≤</w:t>
            </w:r>
            <w:r>
              <w:rPr>
                <w:rFonts w:ascii="Times New Roman"/>
                <w:i/>
              </w:rPr>
              <w:t>T</w:t>
            </w:r>
            <w:r>
              <w:rPr>
                <w:rFonts w:ascii="Times New Roman"/>
                <w:i/>
                <w:vertAlign w:val="subscript"/>
              </w:rPr>
              <w:t>min</w:t>
            </w:r>
            <w:r>
              <w:rPr>
                <w:rFonts w:hint="eastAsia"/>
              </w:rPr>
              <w:t>＜-3.0</w:t>
            </w:r>
          </w:p>
        </w:tc>
        <w:tc>
          <w:tcPr>
            <w:tcW w:w="1264" w:type="dxa"/>
            <w:tcBorders>
              <w:bottom w:val="single" w:color="auto" w:sz="8" w:space="0"/>
            </w:tcBorders>
            <w:shd w:val="clear" w:color="auto" w:fill="auto"/>
            <w:vAlign w:val="center"/>
          </w:tcPr>
          <w:p>
            <w:pPr>
              <w:pStyle w:val="178"/>
            </w:pPr>
            <w:r>
              <w:rPr>
                <w:rFonts w:hint="eastAsia"/>
              </w:rPr>
              <w:t>≥2</w:t>
            </w:r>
          </w:p>
        </w:tc>
        <w:tc>
          <w:tcPr>
            <w:tcW w:w="4700" w:type="dxa"/>
            <w:vMerge w:val="restart"/>
            <w:shd w:val="clear" w:color="auto" w:fill="auto"/>
            <w:vAlign w:val="center"/>
          </w:tcPr>
          <w:p>
            <w:pPr>
              <w:pStyle w:val="178"/>
              <w:jc w:val="left"/>
            </w:pPr>
            <w:r>
              <w:rPr>
                <w:rFonts w:hint="eastAsia"/>
              </w:rPr>
              <w:t>3年及以上生枝干横切韧部变褐（或黑）色，影响</w:t>
            </w:r>
            <w:r>
              <w:rPr>
                <w:rFonts w:hint="eastAsia"/>
                <w:lang w:val="en-US" w:eastAsia="zh-CN"/>
              </w:rPr>
              <w:t>2</w:t>
            </w:r>
            <w:bookmarkStart w:id="183" w:name="_GoBack"/>
            <w:bookmarkEnd w:id="183"/>
            <w:r>
              <w:rPr>
                <w:rFonts w:hint="eastAsia"/>
              </w:rPr>
              <w:t>年以上产量和严重影响树势，幼树和衰弱老树冻死。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33" w:hRule="atLeast"/>
          <w:jc w:val="center"/>
        </w:trPr>
        <w:tc>
          <w:tcPr>
            <w:tcW w:w="1288" w:type="dxa"/>
            <w:vMerge w:val="continue"/>
            <w:tcBorders>
              <w:bottom w:val="single" w:color="auto" w:sz="8" w:space="0"/>
            </w:tcBorders>
            <w:shd w:val="clear" w:color="auto" w:fill="auto"/>
            <w:vAlign w:val="center"/>
          </w:tcPr>
          <w:p>
            <w:pPr>
              <w:pStyle w:val="178"/>
            </w:pPr>
          </w:p>
        </w:tc>
        <w:tc>
          <w:tcPr>
            <w:tcW w:w="2126" w:type="dxa"/>
            <w:tcBorders>
              <w:bottom w:val="single" w:color="auto" w:sz="8" w:space="0"/>
            </w:tcBorders>
            <w:vAlign w:val="center"/>
          </w:tcPr>
          <w:p>
            <w:pPr>
              <w:pStyle w:val="178"/>
            </w:pPr>
            <w:r>
              <w:rPr>
                <w:rFonts w:ascii="Times New Roman"/>
                <w:i/>
              </w:rPr>
              <w:t>T</w:t>
            </w:r>
            <w:r>
              <w:rPr>
                <w:rFonts w:ascii="Times New Roman"/>
                <w:i/>
                <w:vertAlign w:val="subscript"/>
              </w:rPr>
              <w:t>min</w:t>
            </w:r>
            <w:r>
              <w:rPr>
                <w:rFonts w:hint="eastAsia"/>
              </w:rPr>
              <w:t>＜-3.5</w:t>
            </w:r>
          </w:p>
        </w:tc>
        <w:tc>
          <w:tcPr>
            <w:tcW w:w="1264" w:type="dxa"/>
            <w:tcBorders>
              <w:bottom w:val="single" w:color="auto" w:sz="8" w:space="0"/>
            </w:tcBorders>
            <w:shd w:val="clear" w:color="auto" w:fill="auto"/>
            <w:vAlign w:val="center"/>
          </w:tcPr>
          <w:p>
            <w:pPr>
              <w:pStyle w:val="178"/>
            </w:pPr>
            <w:r>
              <w:rPr>
                <w:rFonts w:hint="eastAsia"/>
              </w:rPr>
              <w:t>≥1</w:t>
            </w:r>
          </w:p>
        </w:tc>
        <w:tc>
          <w:tcPr>
            <w:tcW w:w="4700" w:type="dxa"/>
            <w:vMerge w:val="continue"/>
            <w:tcBorders>
              <w:bottom w:val="single" w:color="auto" w:sz="8" w:space="0"/>
            </w:tcBorders>
            <w:shd w:val="clear" w:color="auto" w:fill="auto"/>
            <w:vAlign w:val="center"/>
          </w:tcPr>
          <w:p>
            <w:pPr>
              <w:pStyle w:val="178"/>
              <w:jc w:val="left"/>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9378" w:type="dxa"/>
            <w:gridSpan w:val="4"/>
            <w:tcBorders>
              <w:top w:val="single" w:color="auto" w:sz="8" w:space="0"/>
              <w:bottom w:val="single" w:color="auto" w:sz="8" w:space="0"/>
            </w:tcBorders>
          </w:tcPr>
          <w:p>
            <w:pPr>
              <w:pStyle w:val="180"/>
            </w:pPr>
            <w:r>
              <w:rPr>
                <w:rFonts w:ascii="Times New Roman"/>
                <w:i/>
              </w:rPr>
              <w:t>D</w:t>
            </w:r>
            <w:r>
              <w:rPr>
                <w:rFonts w:hint="eastAsia"/>
              </w:rPr>
              <w:t>为</w:t>
            </w:r>
            <w:r>
              <w:rPr>
                <w:rFonts w:ascii="Times New Roman"/>
                <w:i/>
              </w:rPr>
              <w:t>T</w:t>
            </w:r>
            <w:r>
              <w:rPr>
                <w:rFonts w:ascii="Times New Roman"/>
                <w:i/>
                <w:vertAlign w:val="subscript"/>
              </w:rPr>
              <w:t>min</w:t>
            </w:r>
            <w:r>
              <w:rPr>
                <w:rFonts w:hint="eastAsia"/>
              </w:rPr>
              <w:t>在某一阈值区间持续天数，单位为天（d）。</w:t>
            </w:r>
          </w:p>
        </w:tc>
      </w:tr>
    </w:tbl>
    <w:p>
      <w:pPr>
        <w:pStyle w:val="56"/>
        <w:ind w:firstLine="420"/>
      </w:pPr>
    </w:p>
    <w:p>
      <w:pPr>
        <w:pStyle w:val="56"/>
        <w:ind w:firstLine="420"/>
        <w:sectPr>
          <w:pgSz w:w="11906" w:h="16838"/>
          <w:pgMar w:top="1928" w:right="1134" w:bottom="1134" w:left="1134" w:header="1418" w:footer="1134" w:gutter="284"/>
          <w:cols w:space="425" w:num="1"/>
          <w:formProt w:val="0"/>
          <w:docGrid w:type="lines" w:linePitch="312" w:charSpace="0"/>
        </w:sectPr>
      </w:pPr>
    </w:p>
    <w:bookmarkEnd w:id="51"/>
    <w:p>
      <w:pPr>
        <w:pStyle w:val="198"/>
        <w:rPr>
          <w:vanish w:val="0"/>
        </w:rPr>
      </w:pPr>
      <w:bookmarkStart w:id="150" w:name="BookMark5"/>
    </w:p>
    <w:p>
      <w:pPr>
        <w:pStyle w:val="199"/>
        <w:rPr>
          <w:vanish w:val="0"/>
        </w:rPr>
      </w:pPr>
    </w:p>
    <w:p>
      <w:pPr>
        <w:pStyle w:val="76"/>
        <w:spacing w:after="156"/>
      </w:pPr>
      <w:r>
        <w:br w:type="textWrapping"/>
      </w:r>
      <w:bookmarkStart w:id="151" w:name="_Toc169963970"/>
      <w:bookmarkStart w:id="152" w:name="_Toc170028744"/>
      <w:bookmarkStart w:id="153" w:name="_Toc169948366"/>
      <w:bookmarkStart w:id="154" w:name="_Toc169965136"/>
      <w:bookmarkStart w:id="155" w:name="_Toc169960452"/>
      <w:bookmarkStart w:id="156" w:name="_Toc170204991"/>
      <w:r>
        <w:rPr>
          <w:rFonts w:hint="eastAsia"/>
        </w:rPr>
        <w:t>（资料性附录）</w:t>
      </w:r>
      <w:r>
        <w:br w:type="textWrapping"/>
      </w:r>
      <w:r>
        <w:rPr>
          <w:rFonts w:hint="eastAsia"/>
        </w:rPr>
        <w:t>橄榄冻害防御措施</w:t>
      </w:r>
      <w:bookmarkEnd w:id="151"/>
      <w:bookmarkEnd w:id="152"/>
      <w:bookmarkEnd w:id="153"/>
      <w:bookmarkEnd w:id="154"/>
      <w:bookmarkEnd w:id="155"/>
      <w:bookmarkEnd w:id="156"/>
    </w:p>
    <w:p>
      <w:pPr>
        <w:pStyle w:val="78"/>
        <w:spacing w:before="156" w:after="156"/>
      </w:pPr>
      <w:bookmarkStart w:id="157" w:name="_Toc169963971"/>
      <w:bookmarkStart w:id="158" w:name="_Toc169960453"/>
      <w:bookmarkStart w:id="159" w:name="_Toc169948367"/>
      <w:r>
        <w:rPr>
          <w:rFonts w:hint="eastAsia"/>
        </w:rPr>
        <w:t>灾前防控措施</w:t>
      </w:r>
      <w:bookmarkEnd w:id="157"/>
      <w:bookmarkEnd w:id="158"/>
      <w:bookmarkEnd w:id="159"/>
    </w:p>
    <w:p>
      <w:pPr>
        <w:pStyle w:val="79"/>
        <w:spacing w:before="156" w:after="156"/>
      </w:pPr>
      <w:r>
        <w:rPr>
          <w:rFonts w:hint="eastAsia"/>
        </w:rPr>
        <w:t>增强树势</w:t>
      </w:r>
    </w:p>
    <w:p>
      <w:pPr>
        <w:pStyle w:val="56"/>
        <w:ind w:firstLine="420"/>
      </w:pPr>
      <w:r>
        <w:rPr>
          <w:rFonts w:hint="eastAsia"/>
        </w:rPr>
        <w:t>加大秋冬季橄榄栽培管理，霜冻发生前进行一次培土加厚土壤，施以人畜粪尿、腐熟厩肥为主的有机肥料；在霜冻来临前5d</w:t>
      </w:r>
      <w:r>
        <w:rPr>
          <w:rFonts w:hint="eastAsia" w:hAnsi="宋体"/>
        </w:rPr>
        <w:t>～</w:t>
      </w:r>
      <w:r>
        <w:rPr>
          <w:rFonts w:hint="eastAsia"/>
        </w:rPr>
        <w:t>7d天施一次以磷、钾为主的速效水肥或喷施叶面肥，增强树势提高抗寒性。</w:t>
      </w:r>
    </w:p>
    <w:p>
      <w:pPr>
        <w:pStyle w:val="79"/>
        <w:spacing w:before="156" w:after="156"/>
      </w:pPr>
      <w:r>
        <w:rPr>
          <w:rFonts w:hint="eastAsia"/>
        </w:rPr>
        <w:t>覆盖、打伞、包扎</w:t>
      </w:r>
    </w:p>
    <w:p>
      <w:pPr>
        <w:pStyle w:val="56"/>
        <w:ind w:firstLine="420"/>
      </w:pPr>
      <w:r>
        <w:rPr>
          <w:rFonts w:hint="eastAsia"/>
        </w:rPr>
        <w:t>霜冻发生前在树下覆盖稻草、作物秸秆、草木灰或地膜增温；幼树可用稻草将其顶部扎紧，用竹竿撑起散开（如伞状）罩于枝梢之上，可使枝梢免受冻害；成年树用稻草、工业地毯等包扎树干，先包主干，再包枝干。</w:t>
      </w:r>
    </w:p>
    <w:p>
      <w:pPr>
        <w:pStyle w:val="79"/>
        <w:spacing w:before="156" w:after="156"/>
      </w:pPr>
      <w:r>
        <w:rPr>
          <w:rFonts w:hint="eastAsia"/>
        </w:rPr>
        <w:t>喷灌水</w:t>
      </w:r>
    </w:p>
    <w:p>
      <w:pPr>
        <w:pStyle w:val="56"/>
        <w:ind w:firstLine="420"/>
      </w:pPr>
      <w:r>
        <w:rPr>
          <w:rFonts w:hint="eastAsia"/>
        </w:rPr>
        <w:t>霜冻天气来临前对橄榄果园进行灌水，增加土壤湿度，使果园土壤持水量达65%以上，可以提高土壤温度，增大土壤的热容量和导热率，使土壤降温缓慢；</w:t>
      </w:r>
      <w:r>
        <w:t>灌水后近地空气湿度增加，可减缓温度下降速度。</w:t>
      </w:r>
    </w:p>
    <w:p>
      <w:pPr>
        <w:pStyle w:val="79"/>
        <w:spacing w:before="156" w:after="156"/>
      </w:pPr>
      <w:r>
        <w:t>熏烟</w:t>
      </w:r>
    </w:p>
    <w:p>
      <w:pPr>
        <w:pStyle w:val="56"/>
        <w:ind w:firstLine="420"/>
      </w:pPr>
      <w:r>
        <w:rPr>
          <w:rFonts w:hint="eastAsia"/>
        </w:rPr>
        <w:t>霜冻来临前，在果园低洼处点燃硝酸铵、锯末、磷矿粉和柴油等混合物，不燃明火，形成熏烟直至次日日出，可减轻冻害。</w:t>
      </w:r>
    </w:p>
    <w:p>
      <w:pPr>
        <w:pStyle w:val="78"/>
        <w:spacing w:before="156" w:after="156"/>
      </w:pPr>
      <w:bookmarkStart w:id="160" w:name="_Toc169963972"/>
      <w:bookmarkStart w:id="161" w:name="_Toc169960454"/>
      <w:bookmarkStart w:id="162" w:name="_Toc169948368"/>
      <w:r>
        <w:rPr>
          <w:rFonts w:hint="eastAsia"/>
        </w:rPr>
        <w:t>灾后补救措施</w:t>
      </w:r>
      <w:bookmarkEnd w:id="160"/>
      <w:bookmarkEnd w:id="161"/>
      <w:bookmarkEnd w:id="162"/>
    </w:p>
    <w:p>
      <w:pPr>
        <w:pStyle w:val="79"/>
        <w:spacing w:before="156" w:after="156"/>
      </w:pPr>
      <w:r>
        <w:t>适时修剪</w:t>
      </w:r>
    </w:p>
    <w:p>
      <w:pPr>
        <w:pStyle w:val="56"/>
        <w:ind w:firstLine="420"/>
        <w:rPr>
          <w:rFonts w:hAnsi="宋体"/>
        </w:rPr>
      </w:pPr>
      <w:r>
        <w:rPr>
          <w:rFonts w:hint="eastAsia"/>
        </w:rPr>
        <w:t>等春季气温回升春梢萌发时，剪（锯）去未萌发新梢的枯枝，剪（锯）口涂蜡保护，避免继续龟裂干枯。</w:t>
      </w:r>
      <w:r>
        <w:rPr>
          <w:rFonts w:hint="eastAsia" w:hAnsi="宋体"/>
        </w:rPr>
        <w:t>未受冻害的叶片要全部予以保留，以增加光合面积，制造出更多的营养，使树体尽快得到恢复。</w:t>
      </w:r>
    </w:p>
    <w:bookmarkEnd w:id="147"/>
    <w:bookmarkEnd w:id="148"/>
    <w:bookmarkEnd w:id="149"/>
    <w:p>
      <w:pPr>
        <w:pStyle w:val="79"/>
        <w:spacing w:before="156" w:after="156"/>
      </w:pPr>
      <w:bookmarkStart w:id="163" w:name="_Toc167212150"/>
      <w:bookmarkStart w:id="164" w:name="_Toc167209555"/>
      <w:bookmarkStart w:id="165" w:name="_Toc167212043"/>
      <w:bookmarkStart w:id="166" w:name="_Toc134690254"/>
      <w:bookmarkStart w:id="167" w:name="_Toc166304887"/>
      <w:bookmarkStart w:id="168" w:name="_Toc166501352"/>
      <w:bookmarkStart w:id="169" w:name="_Toc166501319"/>
      <w:bookmarkStart w:id="170" w:name="_Toc166501288"/>
      <w:bookmarkStart w:id="171" w:name="_Toc132960207"/>
      <w:r>
        <w:rPr>
          <w:rFonts w:hint="eastAsia"/>
        </w:rPr>
        <w:t>施春肥</w:t>
      </w:r>
    </w:p>
    <w:p>
      <w:pPr>
        <w:pStyle w:val="56"/>
        <w:ind w:firstLine="420"/>
      </w:pPr>
      <w:r>
        <w:rPr>
          <w:rFonts w:hint="eastAsia"/>
        </w:rPr>
        <w:t>掌握橄榄抽梢期施足春梢促芽肥，恢复树冠生长，对遭受冻害较为严重的植株，做到勤施薄施，以利于植株吸收，促进新梢生长。将有机肥和钙镁磷肥、三元复合肥等速效肥配合施用；对于冻害较轻的橄榄树，可进行根外追肥。</w:t>
      </w:r>
    </w:p>
    <w:p>
      <w:pPr>
        <w:pStyle w:val="79"/>
        <w:spacing w:before="156" w:after="156"/>
      </w:pPr>
      <w:r>
        <w:rPr>
          <w:rFonts w:hint="eastAsia"/>
        </w:rPr>
        <w:t>病虫害防治</w:t>
      </w:r>
    </w:p>
    <w:p>
      <w:pPr>
        <w:pStyle w:val="56"/>
        <w:ind w:firstLine="420"/>
      </w:pPr>
      <w:r>
        <w:rPr>
          <w:rFonts w:hint="eastAsia"/>
        </w:rPr>
        <w:t>橄榄受冻后树势弱，易发生流胶病，发病橄榄除树干刷白外，要用利刀刮除病株病部，然后用50%多菌灵粉剂200倍液涂刀刮部位。还要做好橄榄星室木虱和梢枯病预防工作，以保证新梢能正常生长，尽快培养新树冠。</w:t>
      </w:r>
    </w:p>
    <w:p>
      <w:pPr>
        <w:pStyle w:val="79"/>
        <w:spacing w:before="156" w:after="156"/>
      </w:pPr>
      <w:r>
        <w:rPr>
          <w:rFonts w:hint="eastAsia"/>
        </w:rPr>
        <w:t>高接嫁接</w:t>
      </w:r>
    </w:p>
    <w:p>
      <w:pPr>
        <w:pStyle w:val="56"/>
        <w:ind w:firstLine="420"/>
      </w:pPr>
      <w:r>
        <w:rPr>
          <w:rFonts w:hint="eastAsia"/>
        </w:rPr>
        <w:t>对重度以上冻害的果树，待树势恢复后可以采用高接。</w:t>
      </w:r>
    </w:p>
    <w:bookmarkEnd w:id="150"/>
    <w:bookmarkEnd w:id="163"/>
    <w:bookmarkEnd w:id="164"/>
    <w:bookmarkEnd w:id="165"/>
    <w:p>
      <w:pPr>
        <w:pStyle w:val="63"/>
        <w:spacing w:after="156"/>
      </w:pPr>
      <w:bookmarkStart w:id="172" w:name="_Toc170028745"/>
      <w:bookmarkStart w:id="173" w:name="_Toc167212151"/>
      <w:bookmarkStart w:id="174" w:name="_Toc169965137"/>
      <w:bookmarkStart w:id="175" w:name="_Toc170204992"/>
      <w:bookmarkStart w:id="176" w:name="_Toc169963973"/>
      <w:bookmarkStart w:id="177" w:name="_Toc167209556"/>
      <w:bookmarkStart w:id="178" w:name="_Toc169948369"/>
      <w:bookmarkStart w:id="179" w:name="_Toc167212044"/>
      <w:bookmarkStart w:id="180" w:name="_Toc169960455"/>
      <w:bookmarkStart w:id="181" w:name="BookMark6"/>
      <w:r>
        <w:rPr>
          <w:rFonts w:hint="eastAsia"/>
          <w:spacing w:val="105"/>
        </w:rPr>
        <w:t>参考文</w:t>
      </w:r>
      <w:r>
        <w:rPr>
          <w:rFonts w:hint="eastAsia"/>
        </w:rPr>
        <w:t>献</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p>
    <w:p>
      <w:pPr>
        <w:pStyle w:val="56"/>
        <w:ind w:firstLine="420"/>
      </w:pPr>
      <w:r>
        <w:t>[1]</w:t>
      </w:r>
      <w:r>
        <w:rPr>
          <w:rFonts w:hint="eastAsia"/>
        </w:rPr>
        <w:t>GB/T 35226-2017 地面气象观测规范 空气温度与湿度</w:t>
      </w:r>
    </w:p>
    <w:p>
      <w:pPr>
        <w:pStyle w:val="56"/>
        <w:ind w:firstLine="420"/>
      </w:pPr>
      <w:r>
        <w:t>[</w:t>
      </w:r>
      <w:r>
        <w:rPr>
          <w:rFonts w:hint="eastAsia"/>
        </w:rPr>
        <w:t>2</w:t>
      </w:r>
      <w:r>
        <w:t>]</w:t>
      </w:r>
      <w:r>
        <w:rPr>
          <w:rFonts w:hint="eastAsia"/>
        </w:rPr>
        <w:t>陈益鎏.橄榄霜冻调查分析及灾后管理措施[J].中国南方果树,2011,(03):96-97.</w:t>
      </w:r>
    </w:p>
    <w:p>
      <w:pPr>
        <w:pStyle w:val="56"/>
        <w:ind w:firstLine="420"/>
      </w:pPr>
      <w:r>
        <w:t>[</w:t>
      </w:r>
      <w:r>
        <w:rPr>
          <w:rFonts w:hint="eastAsia"/>
        </w:rPr>
        <w:t>3</w:t>
      </w:r>
      <w:r>
        <w:t>]橄榄丰产优质栽培技术</w:t>
      </w:r>
      <w:r>
        <w:rPr>
          <w:rFonts w:hint="eastAsia"/>
        </w:rPr>
        <w:t>/佘文琴主编.—北京：中国农业出版社，2020.9 ISBN 978-7-109-27034-3</w:t>
      </w:r>
    </w:p>
    <w:bookmarkEnd w:id="181"/>
    <w:p>
      <w:pPr>
        <w:pStyle w:val="56"/>
        <w:ind w:firstLine="0" w:firstLineChars="0"/>
        <w:jc w:val="center"/>
        <w:rPr>
          <w:rFonts w:ascii="Times New Roman"/>
        </w:rPr>
      </w:pPr>
      <w:bookmarkStart w:id="182" w:name="BookMark8"/>
      <w:r>
        <w:rPr>
          <w:rFonts w:hint="eastAsia" w:ascii="Times New Roman"/>
        </w:rPr>
        <w:drawing>
          <wp:inline distT="0" distB="0" distL="0" distR="0">
            <wp:extent cx="1485900" cy="317500"/>
            <wp:effectExtent l="0" t="0" r="0" b="635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6"/>
                    <a:stretch>
                      <a:fillRect/>
                    </a:stretch>
                  </pic:blipFill>
                  <pic:spPr>
                    <a:xfrm>
                      <a:off x="0" y="0"/>
                      <a:ext cx="1485900" cy="317500"/>
                    </a:xfrm>
                    <a:prstGeom prst="rect">
                      <a:avLst/>
                    </a:prstGeom>
                  </pic:spPr>
                </pic:pic>
              </a:graphicData>
            </a:graphic>
          </wp:inline>
        </w:drawing>
      </w:r>
      <w:bookmarkEnd w:id="182"/>
    </w:p>
    <w:p>
      <w:pPr>
        <w:pStyle w:val="56"/>
        <w:ind w:firstLine="0" w:firstLineChars="0"/>
        <w:jc w:val="center"/>
        <w:rPr>
          <w:rFonts w:ascii="Times New Roman"/>
        </w:rPr>
      </w:pPr>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3501/T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3501/T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Full" w:cryptAlgorithmClass="hash" w:cryptAlgorithmType="typeAny" w:cryptAlgorithmSid="4" w:cryptSpinCount="100000" w:hash="1yUafo78vQnJPOrDvqidv78FG7g=" w:salt="v4oELHhasXfitRN7xFNQtg=="/>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M1NmI5NjdlZWZmMDQyMjk2NTk1MDBkNzlmOTdmMzgifQ=="/>
    <w:docVar w:name="KSO_WPS_MARK_KEY" w:val="7c346044-ce4f-466b-9247-5f113dcca3f4"/>
  </w:docVars>
  <w:rsids>
    <w:rsidRoot w:val="00DD0054"/>
    <w:rsid w:val="0000040A"/>
    <w:rsid w:val="00000A94"/>
    <w:rsid w:val="00001972"/>
    <w:rsid w:val="00001AC0"/>
    <w:rsid w:val="00001D9A"/>
    <w:rsid w:val="00002026"/>
    <w:rsid w:val="000061FE"/>
    <w:rsid w:val="00007B3A"/>
    <w:rsid w:val="000107E0"/>
    <w:rsid w:val="00011FDE"/>
    <w:rsid w:val="00012FFD"/>
    <w:rsid w:val="00013283"/>
    <w:rsid w:val="00014162"/>
    <w:rsid w:val="00014340"/>
    <w:rsid w:val="00016A9C"/>
    <w:rsid w:val="00020236"/>
    <w:rsid w:val="00020C1C"/>
    <w:rsid w:val="00022184"/>
    <w:rsid w:val="00022762"/>
    <w:rsid w:val="000238E0"/>
    <w:rsid w:val="000249DB"/>
    <w:rsid w:val="0002595E"/>
    <w:rsid w:val="000303C3"/>
    <w:rsid w:val="00031386"/>
    <w:rsid w:val="000331D3"/>
    <w:rsid w:val="000346A5"/>
    <w:rsid w:val="000359C3"/>
    <w:rsid w:val="00035A7D"/>
    <w:rsid w:val="000365ED"/>
    <w:rsid w:val="000373F2"/>
    <w:rsid w:val="00041C40"/>
    <w:rsid w:val="0004249A"/>
    <w:rsid w:val="00043282"/>
    <w:rsid w:val="00044286"/>
    <w:rsid w:val="000449D6"/>
    <w:rsid w:val="00047F28"/>
    <w:rsid w:val="000503AA"/>
    <w:rsid w:val="000506A1"/>
    <w:rsid w:val="000515DD"/>
    <w:rsid w:val="0005265A"/>
    <w:rsid w:val="000539DD"/>
    <w:rsid w:val="00053BD3"/>
    <w:rsid w:val="00054333"/>
    <w:rsid w:val="000556ED"/>
    <w:rsid w:val="00055FE2"/>
    <w:rsid w:val="0005616F"/>
    <w:rsid w:val="00060C2E"/>
    <w:rsid w:val="00061033"/>
    <w:rsid w:val="000619E9"/>
    <w:rsid w:val="000622D4"/>
    <w:rsid w:val="0006357D"/>
    <w:rsid w:val="000659FA"/>
    <w:rsid w:val="00065B9F"/>
    <w:rsid w:val="00067F1E"/>
    <w:rsid w:val="00071CC0"/>
    <w:rsid w:val="00072D29"/>
    <w:rsid w:val="0007339B"/>
    <w:rsid w:val="00073C8C"/>
    <w:rsid w:val="00077B64"/>
    <w:rsid w:val="00080A1C"/>
    <w:rsid w:val="00082317"/>
    <w:rsid w:val="00083D2C"/>
    <w:rsid w:val="00086AA1"/>
    <w:rsid w:val="00087A77"/>
    <w:rsid w:val="00090CA6"/>
    <w:rsid w:val="00091E2E"/>
    <w:rsid w:val="00092B8A"/>
    <w:rsid w:val="00092FB0"/>
    <w:rsid w:val="000934C5"/>
    <w:rsid w:val="00093D25"/>
    <w:rsid w:val="00093DAB"/>
    <w:rsid w:val="00094D73"/>
    <w:rsid w:val="00096D63"/>
    <w:rsid w:val="000A0B60"/>
    <w:rsid w:val="000A0EB8"/>
    <w:rsid w:val="000A19FC"/>
    <w:rsid w:val="000A296B"/>
    <w:rsid w:val="000A5FFC"/>
    <w:rsid w:val="000A7311"/>
    <w:rsid w:val="000B060F"/>
    <w:rsid w:val="000B1592"/>
    <w:rsid w:val="000B1FF2"/>
    <w:rsid w:val="000B3CDA"/>
    <w:rsid w:val="000B6A0B"/>
    <w:rsid w:val="000C0F6C"/>
    <w:rsid w:val="000C11DB"/>
    <w:rsid w:val="000C1492"/>
    <w:rsid w:val="000C2FBD"/>
    <w:rsid w:val="000C4B41"/>
    <w:rsid w:val="000C57D6"/>
    <w:rsid w:val="000C6362"/>
    <w:rsid w:val="000C676C"/>
    <w:rsid w:val="000C7666"/>
    <w:rsid w:val="000D0A9C"/>
    <w:rsid w:val="000D13CF"/>
    <w:rsid w:val="000D1795"/>
    <w:rsid w:val="000D329A"/>
    <w:rsid w:val="000D4B9C"/>
    <w:rsid w:val="000D4EB6"/>
    <w:rsid w:val="000D753B"/>
    <w:rsid w:val="000E2DD2"/>
    <w:rsid w:val="000E4C9E"/>
    <w:rsid w:val="000E6FD7"/>
    <w:rsid w:val="000F06E1"/>
    <w:rsid w:val="000F0E3C"/>
    <w:rsid w:val="000F19D5"/>
    <w:rsid w:val="000F4AEA"/>
    <w:rsid w:val="000F633F"/>
    <w:rsid w:val="000F67E9"/>
    <w:rsid w:val="00103803"/>
    <w:rsid w:val="00104926"/>
    <w:rsid w:val="00113B1E"/>
    <w:rsid w:val="0011418D"/>
    <w:rsid w:val="0011711C"/>
    <w:rsid w:val="0012059C"/>
    <w:rsid w:val="00121017"/>
    <w:rsid w:val="00124D89"/>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47445"/>
    <w:rsid w:val="001529E5"/>
    <w:rsid w:val="00153C7E"/>
    <w:rsid w:val="00156B25"/>
    <w:rsid w:val="00156E1A"/>
    <w:rsid w:val="00157894"/>
    <w:rsid w:val="00157B55"/>
    <w:rsid w:val="0016114A"/>
    <w:rsid w:val="001639F2"/>
    <w:rsid w:val="001642FA"/>
    <w:rsid w:val="00164966"/>
    <w:rsid w:val="001649EB"/>
    <w:rsid w:val="00164BAF"/>
    <w:rsid w:val="00164FA8"/>
    <w:rsid w:val="00165065"/>
    <w:rsid w:val="00165434"/>
    <w:rsid w:val="0016580B"/>
    <w:rsid w:val="00165F49"/>
    <w:rsid w:val="00166B88"/>
    <w:rsid w:val="0016770A"/>
    <w:rsid w:val="00170804"/>
    <w:rsid w:val="001708E9"/>
    <w:rsid w:val="001726D0"/>
    <w:rsid w:val="0017340B"/>
    <w:rsid w:val="00173FB1"/>
    <w:rsid w:val="001767FC"/>
    <w:rsid w:val="00176DFD"/>
    <w:rsid w:val="001852C9"/>
    <w:rsid w:val="00190087"/>
    <w:rsid w:val="001913C4"/>
    <w:rsid w:val="0019202C"/>
    <w:rsid w:val="0019348F"/>
    <w:rsid w:val="00193A07"/>
    <w:rsid w:val="00194C95"/>
    <w:rsid w:val="00195C34"/>
    <w:rsid w:val="00196EF5"/>
    <w:rsid w:val="001975EB"/>
    <w:rsid w:val="001A1A53"/>
    <w:rsid w:val="001A234A"/>
    <w:rsid w:val="001A4CF3"/>
    <w:rsid w:val="001B06E8"/>
    <w:rsid w:val="001B446A"/>
    <w:rsid w:val="001B71D0"/>
    <w:rsid w:val="001B71EE"/>
    <w:rsid w:val="001C04A8"/>
    <w:rsid w:val="001C2C03"/>
    <w:rsid w:val="001C42F7"/>
    <w:rsid w:val="001C49E5"/>
    <w:rsid w:val="001C680C"/>
    <w:rsid w:val="001C7FEA"/>
    <w:rsid w:val="001D0499"/>
    <w:rsid w:val="001D0BBE"/>
    <w:rsid w:val="001D0E7A"/>
    <w:rsid w:val="001D0ED4"/>
    <w:rsid w:val="001D212F"/>
    <w:rsid w:val="001D29D7"/>
    <w:rsid w:val="001D2DE7"/>
    <w:rsid w:val="001D411C"/>
    <w:rsid w:val="001D4447"/>
    <w:rsid w:val="001E1B6A"/>
    <w:rsid w:val="001E2484"/>
    <w:rsid w:val="001E3CC4"/>
    <w:rsid w:val="001E4882"/>
    <w:rsid w:val="001E68BF"/>
    <w:rsid w:val="001E73AB"/>
    <w:rsid w:val="001F092D"/>
    <w:rsid w:val="001F143A"/>
    <w:rsid w:val="001F1605"/>
    <w:rsid w:val="001F2508"/>
    <w:rsid w:val="001F352C"/>
    <w:rsid w:val="001F4816"/>
    <w:rsid w:val="001F4EE9"/>
    <w:rsid w:val="001F69B4"/>
    <w:rsid w:val="001F77C7"/>
    <w:rsid w:val="00200183"/>
    <w:rsid w:val="00200333"/>
    <w:rsid w:val="0020107D"/>
    <w:rsid w:val="00202AA4"/>
    <w:rsid w:val="002031F7"/>
    <w:rsid w:val="002040E6"/>
    <w:rsid w:val="0020527B"/>
    <w:rsid w:val="00205F2C"/>
    <w:rsid w:val="00210312"/>
    <w:rsid w:val="00210B15"/>
    <w:rsid w:val="00211B7F"/>
    <w:rsid w:val="00213B82"/>
    <w:rsid w:val="002142EA"/>
    <w:rsid w:val="002176F5"/>
    <w:rsid w:val="00217CBE"/>
    <w:rsid w:val="002204BB"/>
    <w:rsid w:val="00221B79"/>
    <w:rsid w:val="00221C6B"/>
    <w:rsid w:val="002253A1"/>
    <w:rsid w:val="00225CF8"/>
    <w:rsid w:val="0022794E"/>
    <w:rsid w:val="00233D64"/>
    <w:rsid w:val="0023482A"/>
    <w:rsid w:val="002359CB"/>
    <w:rsid w:val="00242FC9"/>
    <w:rsid w:val="00243540"/>
    <w:rsid w:val="0024497B"/>
    <w:rsid w:val="00244C6C"/>
    <w:rsid w:val="0024515B"/>
    <w:rsid w:val="00245EA3"/>
    <w:rsid w:val="00246021"/>
    <w:rsid w:val="0024666E"/>
    <w:rsid w:val="002471B1"/>
    <w:rsid w:val="00247F52"/>
    <w:rsid w:val="00250B25"/>
    <w:rsid w:val="00250BBE"/>
    <w:rsid w:val="002515C2"/>
    <w:rsid w:val="0025194F"/>
    <w:rsid w:val="00251CC9"/>
    <w:rsid w:val="00261126"/>
    <w:rsid w:val="0026148A"/>
    <w:rsid w:val="00262696"/>
    <w:rsid w:val="00263D25"/>
    <w:rsid w:val="002643C3"/>
    <w:rsid w:val="00264A0C"/>
    <w:rsid w:val="00266EEB"/>
    <w:rsid w:val="00267EE9"/>
    <w:rsid w:val="00267EF4"/>
    <w:rsid w:val="0027091E"/>
    <w:rsid w:val="00270CB8"/>
    <w:rsid w:val="00272B08"/>
    <w:rsid w:val="002771AC"/>
    <w:rsid w:val="00281BB8"/>
    <w:rsid w:val="00281E47"/>
    <w:rsid w:val="00281E9E"/>
    <w:rsid w:val="00282405"/>
    <w:rsid w:val="0028417F"/>
    <w:rsid w:val="0028466A"/>
    <w:rsid w:val="00285170"/>
    <w:rsid w:val="00285361"/>
    <w:rsid w:val="00292D60"/>
    <w:rsid w:val="00293B30"/>
    <w:rsid w:val="00294D34"/>
    <w:rsid w:val="00294E3B"/>
    <w:rsid w:val="002953FC"/>
    <w:rsid w:val="00296193"/>
    <w:rsid w:val="00296C66"/>
    <w:rsid w:val="00296EBE"/>
    <w:rsid w:val="002974E3"/>
    <w:rsid w:val="002A084B"/>
    <w:rsid w:val="002A1260"/>
    <w:rsid w:val="002A1589"/>
    <w:rsid w:val="002A1608"/>
    <w:rsid w:val="002A25DC"/>
    <w:rsid w:val="002A2739"/>
    <w:rsid w:val="002A3221"/>
    <w:rsid w:val="002A3AAB"/>
    <w:rsid w:val="002A4CEA"/>
    <w:rsid w:val="002A5977"/>
    <w:rsid w:val="002A5A13"/>
    <w:rsid w:val="002A6B81"/>
    <w:rsid w:val="002A757F"/>
    <w:rsid w:val="002A7F44"/>
    <w:rsid w:val="002B0C40"/>
    <w:rsid w:val="002B1966"/>
    <w:rsid w:val="002B4508"/>
    <w:rsid w:val="002B5779"/>
    <w:rsid w:val="002B6CCB"/>
    <w:rsid w:val="002B7332"/>
    <w:rsid w:val="002B7F51"/>
    <w:rsid w:val="002C09E7"/>
    <w:rsid w:val="002C149C"/>
    <w:rsid w:val="002C1E06"/>
    <w:rsid w:val="002C1E1C"/>
    <w:rsid w:val="002C3F07"/>
    <w:rsid w:val="002C5278"/>
    <w:rsid w:val="002C7EBB"/>
    <w:rsid w:val="002D06C1"/>
    <w:rsid w:val="002D42B5"/>
    <w:rsid w:val="002D4F1A"/>
    <w:rsid w:val="002D579D"/>
    <w:rsid w:val="002D6EC6"/>
    <w:rsid w:val="002D7558"/>
    <w:rsid w:val="002D79AC"/>
    <w:rsid w:val="002E039D"/>
    <w:rsid w:val="002E4D5A"/>
    <w:rsid w:val="002E6326"/>
    <w:rsid w:val="002E7C22"/>
    <w:rsid w:val="002F30E0"/>
    <w:rsid w:val="002F35E4"/>
    <w:rsid w:val="002F3730"/>
    <w:rsid w:val="002F38E1"/>
    <w:rsid w:val="002F5BD4"/>
    <w:rsid w:val="002F7AF6"/>
    <w:rsid w:val="00300E63"/>
    <w:rsid w:val="00302F5F"/>
    <w:rsid w:val="00303FEE"/>
    <w:rsid w:val="0030441D"/>
    <w:rsid w:val="00304E37"/>
    <w:rsid w:val="00306063"/>
    <w:rsid w:val="00306291"/>
    <w:rsid w:val="00313B85"/>
    <w:rsid w:val="0031703E"/>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904"/>
    <w:rsid w:val="00352C83"/>
    <w:rsid w:val="00357D47"/>
    <w:rsid w:val="003615D2"/>
    <w:rsid w:val="0036429C"/>
    <w:rsid w:val="00364A53"/>
    <w:rsid w:val="003654CB"/>
    <w:rsid w:val="00365AA9"/>
    <w:rsid w:val="00365F86"/>
    <w:rsid w:val="00365F87"/>
    <w:rsid w:val="00366E89"/>
    <w:rsid w:val="00366ED3"/>
    <w:rsid w:val="003705F4"/>
    <w:rsid w:val="00370D58"/>
    <w:rsid w:val="00371316"/>
    <w:rsid w:val="00376713"/>
    <w:rsid w:val="00381815"/>
    <w:rsid w:val="003819AF"/>
    <w:rsid w:val="003820E9"/>
    <w:rsid w:val="00382DE7"/>
    <w:rsid w:val="00384FFC"/>
    <w:rsid w:val="0038597C"/>
    <w:rsid w:val="00386240"/>
    <w:rsid w:val="003872FC"/>
    <w:rsid w:val="00387ADC"/>
    <w:rsid w:val="00387D2F"/>
    <w:rsid w:val="00390020"/>
    <w:rsid w:val="003903D6"/>
    <w:rsid w:val="0039042D"/>
    <w:rsid w:val="00390EE6"/>
    <w:rsid w:val="0039101C"/>
    <w:rsid w:val="0039118F"/>
    <w:rsid w:val="00392AD7"/>
    <w:rsid w:val="003938D9"/>
    <w:rsid w:val="00394376"/>
    <w:rsid w:val="003943A4"/>
    <w:rsid w:val="003943FF"/>
    <w:rsid w:val="00395700"/>
    <w:rsid w:val="003974EB"/>
    <w:rsid w:val="00397CC5"/>
    <w:rsid w:val="003A1582"/>
    <w:rsid w:val="003A4077"/>
    <w:rsid w:val="003A4347"/>
    <w:rsid w:val="003B09AD"/>
    <w:rsid w:val="003B1F18"/>
    <w:rsid w:val="003B5BF0"/>
    <w:rsid w:val="003B60BF"/>
    <w:rsid w:val="003B6BE3"/>
    <w:rsid w:val="003C010C"/>
    <w:rsid w:val="003C0A6C"/>
    <w:rsid w:val="003C14F8"/>
    <w:rsid w:val="003C5A43"/>
    <w:rsid w:val="003D0519"/>
    <w:rsid w:val="003D0FF6"/>
    <w:rsid w:val="003D262C"/>
    <w:rsid w:val="003D4D3B"/>
    <w:rsid w:val="003D6D61"/>
    <w:rsid w:val="003D79C6"/>
    <w:rsid w:val="003E091D"/>
    <w:rsid w:val="003E1C53"/>
    <w:rsid w:val="003E2A69"/>
    <w:rsid w:val="003E2D49"/>
    <w:rsid w:val="003E2FD4"/>
    <w:rsid w:val="003E49F6"/>
    <w:rsid w:val="003E660F"/>
    <w:rsid w:val="003F00BE"/>
    <w:rsid w:val="003F0841"/>
    <w:rsid w:val="003F23D3"/>
    <w:rsid w:val="003F3F08"/>
    <w:rsid w:val="003F49F1"/>
    <w:rsid w:val="003F4B74"/>
    <w:rsid w:val="003F6272"/>
    <w:rsid w:val="00400E72"/>
    <w:rsid w:val="00401400"/>
    <w:rsid w:val="00401D67"/>
    <w:rsid w:val="00404869"/>
    <w:rsid w:val="00405884"/>
    <w:rsid w:val="00407D39"/>
    <w:rsid w:val="0041477A"/>
    <w:rsid w:val="00416379"/>
    <w:rsid w:val="004163E6"/>
    <w:rsid w:val="004167A3"/>
    <w:rsid w:val="004274E0"/>
    <w:rsid w:val="00432DAA"/>
    <w:rsid w:val="00433300"/>
    <w:rsid w:val="00434305"/>
    <w:rsid w:val="00435DF7"/>
    <w:rsid w:val="00436837"/>
    <w:rsid w:val="0044083F"/>
    <w:rsid w:val="00441AE7"/>
    <w:rsid w:val="00445574"/>
    <w:rsid w:val="00446726"/>
    <w:rsid w:val="004467FB"/>
    <w:rsid w:val="00452D6B"/>
    <w:rsid w:val="00454484"/>
    <w:rsid w:val="0045517B"/>
    <w:rsid w:val="00463B77"/>
    <w:rsid w:val="00463C7B"/>
    <w:rsid w:val="004644A6"/>
    <w:rsid w:val="004659BD"/>
    <w:rsid w:val="00470775"/>
    <w:rsid w:val="004746B1"/>
    <w:rsid w:val="0047583F"/>
    <w:rsid w:val="00475DE8"/>
    <w:rsid w:val="00481992"/>
    <w:rsid w:val="00481C44"/>
    <w:rsid w:val="00484936"/>
    <w:rsid w:val="00485C89"/>
    <w:rsid w:val="00486BE3"/>
    <w:rsid w:val="004905E4"/>
    <w:rsid w:val="00490A89"/>
    <w:rsid w:val="00490AB4"/>
    <w:rsid w:val="00492F02"/>
    <w:rsid w:val="004939AE"/>
    <w:rsid w:val="004968C4"/>
    <w:rsid w:val="004A12DF"/>
    <w:rsid w:val="004A17E6"/>
    <w:rsid w:val="004A1BA8"/>
    <w:rsid w:val="004A4B57"/>
    <w:rsid w:val="004A60A5"/>
    <w:rsid w:val="004A63FA"/>
    <w:rsid w:val="004B0272"/>
    <w:rsid w:val="004B2701"/>
    <w:rsid w:val="004B2E1B"/>
    <w:rsid w:val="004B3AA8"/>
    <w:rsid w:val="004B3E93"/>
    <w:rsid w:val="004B5385"/>
    <w:rsid w:val="004B5534"/>
    <w:rsid w:val="004C1FBC"/>
    <w:rsid w:val="004C2229"/>
    <w:rsid w:val="004C3F1D"/>
    <w:rsid w:val="004C405F"/>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5A8"/>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17A83"/>
    <w:rsid w:val="005220EC"/>
    <w:rsid w:val="00523F95"/>
    <w:rsid w:val="00524D65"/>
    <w:rsid w:val="00525B16"/>
    <w:rsid w:val="00533D04"/>
    <w:rsid w:val="00534804"/>
    <w:rsid w:val="00534BDF"/>
    <w:rsid w:val="005354EA"/>
    <w:rsid w:val="0053585F"/>
    <w:rsid w:val="00535EC4"/>
    <w:rsid w:val="00535ED9"/>
    <w:rsid w:val="0053692B"/>
    <w:rsid w:val="0053769F"/>
    <w:rsid w:val="005406E7"/>
    <w:rsid w:val="00541853"/>
    <w:rsid w:val="00543BDA"/>
    <w:rsid w:val="005441CC"/>
    <w:rsid w:val="005479DA"/>
    <w:rsid w:val="00547BCC"/>
    <w:rsid w:val="0055013B"/>
    <w:rsid w:val="00551F6F"/>
    <w:rsid w:val="00555044"/>
    <w:rsid w:val="00561475"/>
    <w:rsid w:val="0056194E"/>
    <w:rsid w:val="0056487B"/>
    <w:rsid w:val="00564C1E"/>
    <w:rsid w:val="00564FB9"/>
    <w:rsid w:val="00570C51"/>
    <w:rsid w:val="00573D9E"/>
    <w:rsid w:val="00577991"/>
    <w:rsid w:val="005801E3"/>
    <w:rsid w:val="00581802"/>
    <w:rsid w:val="005836A8"/>
    <w:rsid w:val="0058409C"/>
    <w:rsid w:val="00584262"/>
    <w:rsid w:val="00586630"/>
    <w:rsid w:val="00587ADD"/>
    <w:rsid w:val="00587B4A"/>
    <w:rsid w:val="00591E27"/>
    <w:rsid w:val="00594ED1"/>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5EE"/>
    <w:rsid w:val="005B6CF6"/>
    <w:rsid w:val="005B7422"/>
    <w:rsid w:val="005C29B8"/>
    <w:rsid w:val="005C5F21"/>
    <w:rsid w:val="005C7156"/>
    <w:rsid w:val="005D0C75"/>
    <w:rsid w:val="005D4171"/>
    <w:rsid w:val="005D68B9"/>
    <w:rsid w:val="005D6A95"/>
    <w:rsid w:val="005D6B2C"/>
    <w:rsid w:val="005D6D9C"/>
    <w:rsid w:val="005E2335"/>
    <w:rsid w:val="005E34CA"/>
    <w:rsid w:val="005E3C18"/>
    <w:rsid w:val="005E6812"/>
    <w:rsid w:val="005E7881"/>
    <w:rsid w:val="005E78E0"/>
    <w:rsid w:val="005F0D9C"/>
    <w:rsid w:val="005F284E"/>
    <w:rsid w:val="005F4712"/>
    <w:rsid w:val="005F749D"/>
    <w:rsid w:val="006015CE"/>
    <w:rsid w:val="00604784"/>
    <w:rsid w:val="00606419"/>
    <w:rsid w:val="00607D29"/>
    <w:rsid w:val="00612952"/>
    <w:rsid w:val="006146FE"/>
    <w:rsid w:val="00614CC1"/>
    <w:rsid w:val="0061558D"/>
    <w:rsid w:val="00615A9D"/>
    <w:rsid w:val="00617387"/>
    <w:rsid w:val="00617700"/>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1D10"/>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24AC"/>
    <w:rsid w:val="006840A6"/>
    <w:rsid w:val="006850CD"/>
    <w:rsid w:val="00685AAB"/>
    <w:rsid w:val="00690299"/>
    <w:rsid w:val="00695D22"/>
    <w:rsid w:val="006A07AA"/>
    <w:rsid w:val="006A25E5"/>
    <w:rsid w:val="006A2B46"/>
    <w:rsid w:val="006A336D"/>
    <w:rsid w:val="006A37B9"/>
    <w:rsid w:val="006B09C3"/>
    <w:rsid w:val="006B2672"/>
    <w:rsid w:val="006B3900"/>
    <w:rsid w:val="006B3EA7"/>
    <w:rsid w:val="006B54BF"/>
    <w:rsid w:val="006B5F44"/>
    <w:rsid w:val="006B5F90"/>
    <w:rsid w:val="006B62E4"/>
    <w:rsid w:val="006B7BB4"/>
    <w:rsid w:val="006C1BBA"/>
    <w:rsid w:val="006C2079"/>
    <w:rsid w:val="006C5A62"/>
    <w:rsid w:val="006C5D68"/>
    <w:rsid w:val="006C6976"/>
    <w:rsid w:val="006C6DD0"/>
    <w:rsid w:val="006D04EA"/>
    <w:rsid w:val="006D0AB7"/>
    <w:rsid w:val="006D16C4"/>
    <w:rsid w:val="006D3E96"/>
    <w:rsid w:val="006D4515"/>
    <w:rsid w:val="006D4BB1"/>
    <w:rsid w:val="006D6593"/>
    <w:rsid w:val="006E08F2"/>
    <w:rsid w:val="006E128E"/>
    <w:rsid w:val="006E23EA"/>
    <w:rsid w:val="006E743F"/>
    <w:rsid w:val="006F03A8"/>
    <w:rsid w:val="006F2A32"/>
    <w:rsid w:val="006F2ACA"/>
    <w:rsid w:val="006F2ADC"/>
    <w:rsid w:val="006F2BFE"/>
    <w:rsid w:val="006F31E9"/>
    <w:rsid w:val="006F6284"/>
    <w:rsid w:val="007002C5"/>
    <w:rsid w:val="00700620"/>
    <w:rsid w:val="007010E4"/>
    <w:rsid w:val="00704387"/>
    <w:rsid w:val="00707669"/>
    <w:rsid w:val="00711CBA"/>
    <w:rsid w:val="00711FB5"/>
    <w:rsid w:val="00712A01"/>
    <w:rsid w:val="00714F58"/>
    <w:rsid w:val="007227AA"/>
    <w:rsid w:val="00722FBF"/>
    <w:rsid w:val="00722FC2"/>
    <w:rsid w:val="007236C6"/>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476E4"/>
    <w:rsid w:val="007501A8"/>
    <w:rsid w:val="00750D61"/>
    <w:rsid w:val="00750EE1"/>
    <w:rsid w:val="00752B4D"/>
    <w:rsid w:val="00754DAE"/>
    <w:rsid w:val="00755402"/>
    <w:rsid w:val="00756B26"/>
    <w:rsid w:val="00756EDF"/>
    <w:rsid w:val="007600E3"/>
    <w:rsid w:val="00765C43"/>
    <w:rsid w:val="00765EFB"/>
    <w:rsid w:val="00766DDD"/>
    <w:rsid w:val="007671CA"/>
    <w:rsid w:val="00767C61"/>
    <w:rsid w:val="0077008A"/>
    <w:rsid w:val="0077161D"/>
    <w:rsid w:val="00772D8A"/>
    <w:rsid w:val="00773C1F"/>
    <w:rsid w:val="00774DA4"/>
    <w:rsid w:val="00775DAB"/>
    <w:rsid w:val="00776599"/>
    <w:rsid w:val="0078114B"/>
    <w:rsid w:val="00781DD2"/>
    <w:rsid w:val="00783ECF"/>
    <w:rsid w:val="0078413A"/>
    <w:rsid w:val="007959E8"/>
    <w:rsid w:val="00795E9C"/>
    <w:rsid w:val="00797E34"/>
    <w:rsid w:val="007A0521"/>
    <w:rsid w:val="007A2E12"/>
    <w:rsid w:val="007A3475"/>
    <w:rsid w:val="007A41C8"/>
    <w:rsid w:val="007A54CE"/>
    <w:rsid w:val="007A54FF"/>
    <w:rsid w:val="007A6FD9"/>
    <w:rsid w:val="007A7FFA"/>
    <w:rsid w:val="007B04EB"/>
    <w:rsid w:val="007B0D4F"/>
    <w:rsid w:val="007B5A3D"/>
    <w:rsid w:val="007B5B95"/>
    <w:rsid w:val="007B5E54"/>
    <w:rsid w:val="007B68EA"/>
    <w:rsid w:val="007B7453"/>
    <w:rsid w:val="007C083B"/>
    <w:rsid w:val="007C0C17"/>
    <w:rsid w:val="007C1E8B"/>
    <w:rsid w:val="007C2D89"/>
    <w:rsid w:val="007C350C"/>
    <w:rsid w:val="007C4593"/>
    <w:rsid w:val="007C5309"/>
    <w:rsid w:val="007C6069"/>
    <w:rsid w:val="007C7888"/>
    <w:rsid w:val="007D06C4"/>
    <w:rsid w:val="007D1352"/>
    <w:rsid w:val="007D2508"/>
    <w:rsid w:val="007D346A"/>
    <w:rsid w:val="007D6518"/>
    <w:rsid w:val="007D6F4C"/>
    <w:rsid w:val="007D708E"/>
    <w:rsid w:val="007D76BD"/>
    <w:rsid w:val="007E0BF1"/>
    <w:rsid w:val="007E0D82"/>
    <w:rsid w:val="007E4A12"/>
    <w:rsid w:val="007F0ED8"/>
    <w:rsid w:val="007F0F63"/>
    <w:rsid w:val="007F55B0"/>
    <w:rsid w:val="007F75CE"/>
    <w:rsid w:val="008013A4"/>
    <w:rsid w:val="008027CE"/>
    <w:rsid w:val="00802F42"/>
    <w:rsid w:val="00803354"/>
    <w:rsid w:val="00804383"/>
    <w:rsid w:val="00804BB7"/>
    <w:rsid w:val="00804D41"/>
    <w:rsid w:val="00810257"/>
    <w:rsid w:val="008104F5"/>
    <w:rsid w:val="00811072"/>
    <w:rsid w:val="00811369"/>
    <w:rsid w:val="00815419"/>
    <w:rsid w:val="008163C8"/>
    <w:rsid w:val="008164A1"/>
    <w:rsid w:val="00817325"/>
    <w:rsid w:val="008206ED"/>
    <w:rsid w:val="008209E6"/>
    <w:rsid w:val="00823303"/>
    <w:rsid w:val="008233B2"/>
    <w:rsid w:val="00823A9F"/>
    <w:rsid w:val="00823C85"/>
    <w:rsid w:val="00824EB0"/>
    <w:rsid w:val="00825138"/>
    <w:rsid w:val="008269DD"/>
    <w:rsid w:val="00830621"/>
    <w:rsid w:val="0083348C"/>
    <w:rsid w:val="008373D3"/>
    <w:rsid w:val="00840617"/>
    <w:rsid w:val="00840F84"/>
    <w:rsid w:val="00841C96"/>
    <w:rsid w:val="00842A47"/>
    <w:rsid w:val="00843C13"/>
    <w:rsid w:val="008454F8"/>
    <w:rsid w:val="0085173A"/>
    <w:rsid w:val="00856316"/>
    <w:rsid w:val="008603CE"/>
    <w:rsid w:val="008620FC"/>
    <w:rsid w:val="008627A5"/>
    <w:rsid w:val="00863E05"/>
    <w:rsid w:val="00865ACA"/>
    <w:rsid w:val="00865D28"/>
    <w:rsid w:val="00865F85"/>
    <w:rsid w:val="00867C10"/>
    <w:rsid w:val="00867C70"/>
    <w:rsid w:val="00870439"/>
    <w:rsid w:val="00870DA1"/>
    <w:rsid w:val="00873DB8"/>
    <w:rsid w:val="00883F93"/>
    <w:rsid w:val="00884DB3"/>
    <w:rsid w:val="00885A9D"/>
    <w:rsid w:val="008864F6"/>
    <w:rsid w:val="0089049D"/>
    <w:rsid w:val="008928C9"/>
    <w:rsid w:val="008930CB"/>
    <w:rsid w:val="008938DC"/>
    <w:rsid w:val="00893FD1"/>
    <w:rsid w:val="00894836"/>
    <w:rsid w:val="00895172"/>
    <w:rsid w:val="00895680"/>
    <w:rsid w:val="008967AB"/>
    <w:rsid w:val="00896DFF"/>
    <w:rsid w:val="0089762C"/>
    <w:rsid w:val="008977E2"/>
    <w:rsid w:val="008A1893"/>
    <w:rsid w:val="008A3215"/>
    <w:rsid w:val="008A578A"/>
    <w:rsid w:val="008A57E6"/>
    <w:rsid w:val="008A6F81"/>
    <w:rsid w:val="008A769A"/>
    <w:rsid w:val="008B0C9C"/>
    <w:rsid w:val="008B166D"/>
    <w:rsid w:val="008B17F4"/>
    <w:rsid w:val="008B3615"/>
    <w:rsid w:val="008B4AC4"/>
    <w:rsid w:val="008B50C8"/>
    <w:rsid w:val="008B5281"/>
    <w:rsid w:val="008B7E05"/>
    <w:rsid w:val="008C0263"/>
    <w:rsid w:val="008C1797"/>
    <w:rsid w:val="008C219C"/>
    <w:rsid w:val="008C475E"/>
    <w:rsid w:val="008C619A"/>
    <w:rsid w:val="008D0CE8"/>
    <w:rsid w:val="008D2D1D"/>
    <w:rsid w:val="008D453D"/>
    <w:rsid w:val="008D53AD"/>
    <w:rsid w:val="008D562B"/>
    <w:rsid w:val="008D5733"/>
    <w:rsid w:val="008D622B"/>
    <w:rsid w:val="008D666C"/>
    <w:rsid w:val="008D7B54"/>
    <w:rsid w:val="008E0643"/>
    <w:rsid w:val="008E0C9D"/>
    <w:rsid w:val="008E1648"/>
    <w:rsid w:val="008E1B3E"/>
    <w:rsid w:val="008E2319"/>
    <w:rsid w:val="008E2EC6"/>
    <w:rsid w:val="008E4BB6"/>
    <w:rsid w:val="008E5518"/>
    <w:rsid w:val="008E6A84"/>
    <w:rsid w:val="008F0CDC"/>
    <w:rsid w:val="008F1272"/>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2AFB"/>
    <w:rsid w:val="009245F5"/>
    <w:rsid w:val="009249EC"/>
    <w:rsid w:val="009273B3"/>
    <w:rsid w:val="009305B5"/>
    <w:rsid w:val="00936CA3"/>
    <w:rsid w:val="009429D5"/>
    <w:rsid w:val="00942BF1"/>
    <w:rsid w:val="00944555"/>
    <w:rsid w:val="00944B2F"/>
    <w:rsid w:val="00945180"/>
    <w:rsid w:val="00945428"/>
    <w:rsid w:val="00945879"/>
    <w:rsid w:val="0094607B"/>
    <w:rsid w:val="00953604"/>
    <w:rsid w:val="0095496B"/>
    <w:rsid w:val="009610DC"/>
    <w:rsid w:val="00961490"/>
    <w:rsid w:val="0096381A"/>
    <w:rsid w:val="00965E04"/>
    <w:rsid w:val="00966E6C"/>
    <w:rsid w:val="009674AD"/>
    <w:rsid w:val="00967CCC"/>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5EB0"/>
    <w:rsid w:val="009A6209"/>
    <w:rsid w:val="009A66FB"/>
    <w:rsid w:val="009A72AD"/>
    <w:rsid w:val="009B09E0"/>
    <w:rsid w:val="009B0BC5"/>
    <w:rsid w:val="009B1247"/>
    <w:rsid w:val="009B46F9"/>
    <w:rsid w:val="009B542A"/>
    <w:rsid w:val="009B6029"/>
    <w:rsid w:val="009B6971"/>
    <w:rsid w:val="009C1B62"/>
    <w:rsid w:val="009C27F1"/>
    <w:rsid w:val="009C3152"/>
    <w:rsid w:val="009C4CFA"/>
    <w:rsid w:val="009C5070"/>
    <w:rsid w:val="009C7871"/>
    <w:rsid w:val="009C7938"/>
    <w:rsid w:val="009D112C"/>
    <w:rsid w:val="009D47FA"/>
    <w:rsid w:val="009D4C5B"/>
    <w:rsid w:val="009D50D2"/>
    <w:rsid w:val="009D6BCA"/>
    <w:rsid w:val="009E0F62"/>
    <w:rsid w:val="009E4A58"/>
    <w:rsid w:val="009E5A2D"/>
    <w:rsid w:val="009E5AB2"/>
    <w:rsid w:val="009E6219"/>
    <w:rsid w:val="009F03B3"/>
    <w:rsid w:val="009F2E07"/>
    <w:rsid w:val="009F6AFE"/>
    <w:rsid w:val="00A0096C"/>
    <w:rsid w:val="00A01757"/>
    <w:rsid w:val="00A028C0"/>
    <w:rsid w:val="00A02BAE"/>
    <w:rsid w:val="00A06A6B"/>
    <w:rsid w:val="00A07E47"/>
    <w:rsid w:val="00A129D0"/>
    <w:rsid w:val="00A12C33"/>
    <w:rsid w:val="00A12D30"/>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294"/>
    <w:rsid w:val="00A55589"/>
    <w:rsid w:val="00A55BD6"/>
    <w:rsid w:val="00A55D50"/>
    <w:rsid w:val="00A57142"/>
    <w:rsid w:val="00A61D4E"/>
    <w:rsid w:val="00A63FEE"/>
    <w:rsid w:val="00A648CD"/>
    <w:rsid w:val="00A6537A"/>
    <w:rsid w:val="00A66CAA"/>
    <w:rsid w:val="00A67866"/>
    <w:rsid w:val="00A70B07"/>
    <w:rsid w:val="00A723F8"/>
    <w:rsid w:val="00A77CCB"/>
    <w:rsid w:val="00A83D8D"/>
    <w:rsid w:val="00A8446B"/>
    <w:rsid w:val="00A8473F"/>
    <w:rsid w:val="00A851BE"/>
    <w:rsid w:val="00A862D6"/>
    <w:rsid w:val="00A8715E"/>
    <w:rsid w:val="00A916C4"/>
    <w:rsid w:val="00A9295B"/>
    <w:rsid w:val="00A93B09"/>
    <w:rsid w:val="00A94247"/>
    <w:rsid w:val="00A946C6"/>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C6883"/>
    <w:rsid w:val="00AD0AEF"/>
    <w:rsid w:val="00AD11B7"/>
    <w:rsid w:val="00AD1A94"/>
    <w:rsid w:val="00AD1C05"/>
    <w:rsid w:val="00AD4126"/>
    <w:rsid w:val="00AD421C"/>
    <w:rsid w:val="00AD44FA"/>
    <w:rsid w:val="00AE070A"/>
    <w:rsid w:val="00AE101C"/>
    <w:rsid w:val="00AE37E5"/>
    <w:rsid w:val="00AE5EB4"/>
    <w:rsid w:val="00AF0C18"/>
    <w:rsid w:val="00AF2682"/>
    <w:rsid w:val="00AF37D2"/>
    <w:rsid w:val="00AF47C5"/>
    <w:rsid w:val="00AF47D7"/>
    <w:rsid w:val="00AF5398"/>
    <w:rsid w:val="00AF7570"/>
    <w:rsid w:val="00B049AF"/>
    <w:rsid w:val="00B07242"/>
    <w:rsid w:val="00B10534"/>
    <w:rsid w:val="00B113DB"/>
    <w:rsid w:val="00B11D8A"/>
    <w:rsid w:val="00B12981"/>
    <w:rsid w:val="00B147DD"/>
    <w:rsid w:val="00B156FD"/>
    <w:rsid w:val="00B21F61"/>
    <w:rsid w:val="00B22FA8"/>
    <w:rsid w:val="00B261F1"/>
    <w:rsid w:val="00B265BC"/>
    <w:rsid w:val="00B309AF"/>
    <w:rsid w:val="00B31FB1"/>
    <w:rsid w:val="00B33952"/>
    <w:rsid w:val="00B33C5E"/>
    <w:rsid w:val="00B342F4"/>
    <w:rsid w:val="00B34369"/>
    <w:rsid w:val="00B34DC2"/>
    <w:rsid w:val="00B37402"/>
    <w:rsid w:val="00B378E5"/>
    <w:rsid w:val="00B430AD"/>
    <w:rsid w:val="00B43269"/>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0818"/>
    <w:rsid w:val="00B72880"/>
    <w:rsid w:val="00B758BF"/>
    <w:rsid w:val="00B77EC8"/>
    <w:rsid w:val="00B827A6"/>
    <w:rsid w:val="00B831CE"/>
    <w:rsid w:val="00B86677"/>
    <w:rsid w:val="00B87131"/>
    <w:rsid w:val="00B87C64"/>
    <w:rsid w:val="00B939B1"/>
    <w:rsid w:val="00B96D40"/>
    <w:rsid w:val="00B97386"/>
    <w:rsid w:val="00BA263B"/>
    <w:rsid w:val="00BA42B2"/>
    <w:rsid w:val="00BA48E1"/>
    <w:rsid w:val="00BA4E46"/>
    <w:rsid w:val="00BA58D4"/>
    <w:rsid w:val="00BA5B9E"/>
    <w:rsid w:val="00BA7C9A"/>
    <w:rsid w:val="00BB203B"/>
    <w:rsid w:val="00BB5F8F"/>
    <w:rsid w:val="00BB657A"/>
    <w:rsid w:val="00BB7F9E"/>
    <w:rsid w:val="00BC1A4E"/>
    <w:rsid w:val="00BC4790"/>
    <w:rsid w:val="00BC5DC7"/>
    <w:rsid w:val="00BC6B8B"/>
    <w:rsid w:val="00BC73D8"/>
    <w:rsid w:val="00BD173D"/>
    <w:rsid w:val="00BD431B"/>
    <w:rsid w:val="00BD52D7"/>
    <w:rsid w:val="00BD5AD2"/>
    <w:rsid w:val="00BE09B1"/>
    <w:rsid w:val="00BE22F3"/>
    <w:rsid w:val="00BE4AF1"/>
    <w:rsid w:val="00BE5B52"/>
    <w:rsid w:val="00BE7B8D"/>
    <w:rsid w:val="00BF0993"/>
    <w:rsid w:val="00BF10A9"/>
    <w:rsid w:val="00BF1703"/>
    <w:rsid w:val="00BF231C"/>
    <w:rsid w:val="00BF51E5"/>
    <w:rsid w:val="00BF74A6"/>
    <w:rsid w:val="00C013AD"/>
    <w:rsid w:val="00C020EA"/>
    <w:rsid w:val="00C04904"/>
    <w:rsid w:val="00C056B3"/>
    <w:rsid w:val="00C05E99"/>
    <w:rsid w:val="00C103E5"/>
    <w:rsid w:val="00C13046"/>
    <w:rsid w:val="00C13319"/>
    <w:rsid w:val="00C13EE9"/>
    <w:rsid w:val="00C155AE"/>
    <w:rsid w:val="00C21540"/>
    <w:rsid w:val="00C21906"/>
    <w:rsid w:val="00C21BFA"/>
    <w:rsid w:val="00C22148"/>
    <w:rsid w:val="00C2381A"/>
    <w:rsid w:val="00C24C8D"/>
    <w:rsid w:val="00C25FE2"/>
    <w:rsid w:val="00C26B53"/>
    <w:rsid w:val="00C279B2"/>
    <w:rsid w:val="00C332ED"/>
    <w:rsid w:val="00C33E50"/>
    <w:rsid w:val="00C34C20"/>
    <w:rsid w:val="00C3594A"/>
    <w:rsid w:val="00C35A3E"/>
    <w:rsid w:val="00C36EED"/>
    <w:rsid w:val="00C41C6B"/>
    <w:rsid w:val="00C42130"/>
    <w:rsid w:val="00C423A4"/>
    <w:rsid w:val="00C42A2F"/>
    <w:rsid w:val="00C42D0E"/>
    <w:rsid w:val="00C44BF5"/>
    <w:rsid w:val="00C521D6"/>
    <w:rsid w:val="00C55232"/>
    <w:rsid w:val="00C553A4"/>
    <w:rsid w:val="00C55A06"/>
    <w:rsid w:val="00C55D03"/>
    <w:rsid w:val="00C57275"/>
    <w:rsid w:val="00C601BC"/>
    <w:rsid w:val="00C6329F"/>
    <w:rsid w:val="00C63340"/>
    <w:rsid w:val="00C643F9"/>
    <w:rsid w:val="00C64E95"/>
    <w:rsid w:val="00C71372"/>
    <w:rsid w:val="00C72410"/>
    <w:rsid w:val="00C7287F"/>
    <w:rsid w:val="00C77D05"/>
    <w:rsid w:val="00C80982"/>
    <w:rsid w:val="00C80CB8"/>
    <w:rsid w:val="00C819F8"/>
    <w:rsid w:val="00C8248C"/>
    <w:rsid w:val="00C84E33"/>
    <w:rsid w:val="00C86D6F"/>
    <w:rsid w:val="00C905FC"/>
    <w:rsid w:val="00C92D03"/>
    <w:rsid w:val="00C9319C"/>
    <w:rsid w:val="00C93F09"/>
    <w:rsid w:val="00C9435D"/>
    <w:rsid w:val="00C94DF2"/>
    <w:rsid w:val="00C96741"/>
    <w:rsid w:val="00C96AAF"/>
    <w:rsid w:val="00CA2D1B"/>
    <w:rsid w:val="00CA375D"/>
    <w:rsid w:val="00CA662A"/>
    <w:rsid w:val="00CA7AFD"/>
    <w:rsid w:val="00CA7C3C"/>
    <w:rsid w:val="00CB0189"/>
    <w:rsid w:val="00CB0BA2"/>
    <w:rsid w:val="00CB1A42"/>
    <w:rsid w:val="00CB1B0C"/>
    <w:rsid w:val="00CB2C0B"/>
    <w:rsid w:val="00CB3FCD"/>
    <w:rsid w:val="00CB517D"/>
    <w:rsid w:val="00CB7FAB"/>
    <w:rsid w:val="00CC038D"/>
    <w:rsid w:val="00CC08DB"/>
    <w:rsid w:val="00CC39FF"/>
    <w:rsid w:val="00CC3C2F"/>
    <w:rsid w:val="00CC42D3"/>
    <w:rsid w:val="00CC4AC8"/>
    <w:rsid w:val="00CC5233"/>
    <w:rsid w:val="00CC5DE6"/>
    <w:rsid w:val="00CC6E4E"/>
    <w:rsid w:val="00CC6FE8"/>
    <w:rsid w:val="00CC7202"/>
    <w:rsid w:val="00CD0FD4"/>
    <w:rsid w:val="00CD2808"/>
    <w:rsid w:val="00CD28BF"/>
    <w:rsid w:val="00CD4092"/>
    <w:rsid w:val="00CD4A20"/>
    <w:rsid w:val="00CD50A1"/>
    <w:rsid w:val="00CD519E"/>
    <w:rsid w:val="00CD561D"/>
    <w:rsid w:val="00CE0C4F"/>
    <w:rsid w:val="00CE1FBC"/>
    <w:rsid w:val="00CE30EA"/>
    <w:rsid w:val="00CF048A"/>
    <w:rsid w:val="00CF155A"/>
    <w:rsid w:val="00CF18CB"/>
    <w:rsid w:val="00CF2947"/>
    <w:rsid w:val="00CF4DE5"/>
    <w:rsid w:val="00CF686F"/>
    <w:rsid w:val="00CF6E60"/>
    <w:rsid w:val="00CF7BCA"/>
    <w:rsid w:val="00D008FD"/>
    <w:rsid w:val="00D01972"/>
    <w:rsid w:val="00D0321C"/>
    <w:rsid w:val="00D035EC"/>
    <w:rsid w:val="00D06AB1"/>
    <w:rsid w:val="00D072ED"/>
    <w:rsid w:val="00D07A16"/>
    <w:rsid w:val="00D1067E"/>
    <w:rsid w:val="00D10F50"/>
    <w:rsid w:val="00D11272"/>
    <w:rsid w:val="00D126F5"/>
    <w:rsid w:val="00D1489E"/>
    <w:rsid w:val="00D153CC"/>
    <w:rsid w:val="00D20737"/>
    <w:rsid w:val="00D21E81"/>
    <w:rsid w:val="00D223DE"/>
    <w:rsid w:val="00D23704"/>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1997"/>
    <w:rsid w:val="00D64C13"/>
    <w:rsid w:val="00D66846"/>
    <w:rsid w:val="00D675FB"/>
    <w:rsid w:val="00D71F25"/>
    <w:rsid w:val="00D72A9C"/>
    <w:rsid w:val="00D762FA"/>
    <w:rsid w:val="00D77031"/>
    <w:rsid w:val="00D844D9"/>
    <w:rsid w:val="00D84941"/>
    <w:rsid w:val="00D84FA1"/>
    <w:rsid w:val="00D851F0"/>
    <w:rsid w:val="00D86DB7"/>
    <w:rsid w:val="00D921D3"/>
    <w:rsid w:val="00D926D0"/>
    <w:rsid w:val="00D93030"/>
    <w:rsid w:val="00D950E1"/>
    <w:rsid w:val="00D952A6"/>
    <w:rsid w:val="00D95D99"/>
    <w:rsid w:val="00D96F24"/>
    <w:rsid w:val="00D97F99"/>
    <w:rsid w:val="00DA1714"/>
    <w:rsid w:val="00DA1E08"/>
    <w:rsid w:val="00DA24F8"/>
    <w:rsid w:val="00DA28E8"/>
    <w:rsid w:val="00DA2DF1"/>
    <w:rsid w:val="00DA38D3"/>
    <w:rsid w:val="00DA3932"/>
    <w:rsid w:val="00DA3AFC"/>
    <w:rsid w:val="00DA5191"/>
    <w:rsid w:val="00DA64F8"/>
    <w:rsid w:val="00DA6C15"/>
    <w:rsid w:val="00DB0258"/>
    <w:rsid w:val="00DB38EE"/>
    <w:rsid w:val="00DB498B"/>
    <w:rsid w:val="00DB66CA"/>
    <w:rsid w:val="00DB6BCA"/>
    <w:rsid w:val="00DB73F7"/>
    <w:rsid w:val="00DC00C2"/>
    <w:rsid w:val="00DC0321"/>
    <w:rsid w:val="00DC3067"/>
    <w:rsid w:val="00DC370B"/>
    <w:rsid w:val="00DC5B90"/>
    <w:rsid w:val="00DD0054"/>
    <w:rsid w:val="00DD00FF"/>
    <w:rsid w:val="00DD0619"/>
    <w:rsid w:val="00DD07FB"/>
    <w:rsid w:val="00DD25C6"/>
    <w:rsid w:val="00DD466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079A9"/>
    <w:rsid w:val="00E10A58"/>
    <w:rsid w:val="00E11A85"/>
    <w:rsid w:val="00E12495"/>
    <w:rsid w:val="00E144E5"/>
    <w:rsid w:val="00E15CCD"/>
    <w:rsid w:val="00E202EF"/>
    <w:rsid w:val="00E210B5"/>
    <w:rsid w:val="00E23D99"/>
    <w:rsid w:val="00E2552F"/>
    <w:rsid w:val="00E3137A"/>
    <w:rsid w:val="00E32CCF"/>
    <w:rsid w:val="00E34A98"/>
    <w:rsid w:val="00E35D1E"/>
    <w:rsid w:val="00E364F9"/>
    <w:rsid w:val="00E365FA"/>
    <w:rsid w:val="00E36789"/>
    <w:rsid w:val="00E44A83"/>
    <w:rsid w:val="00E4655D"/>
    <w:rsid w:val="00E502C1"/>
    <w:rsid w:val="00E502DD"/>
    <w:rsid w:val="00E50D3A"/>
    <w:rsid w:val="00E51387"/>
    <w:rsid w:val="00E51E68"/>
    <w:rsid w:val="00E52EFD"/>
    <w:rsid w:val="00E5408A"/>
    <w:rsid w:val="00E54561"/>
    <w:rsid w:val="00E56800"/>
    <w:rsid w:val="00E578AD"/>
    <w:rsid w:val="00E60C63"/>
    <w:rsid w:val="00E62FF9"/>
    <w:rsid w:val="00E635D6"/>
    <w:rsid w:val="00E639BC"/>
    <w:rsid w:val="00E664CC"/>
    <w:rsid w:val="00E70388"/>
    <w:rsid w:val="00E70F92"/>
    <w:rsid w:val="00E74C54"/>
    <w:rsid w:val="00E76C26"/>
    <w:rsid w:val="00E77A03"/>
    <w:rsid w:val="00E77F06"/>
    <w:rsid w:val="00E822E8"/>
    <w:rsid w:val="00E82554"/>
    <w:rsid w:val="00E82606"/>
    <w:rsid w:val="00E846C8"/>
    <w:rsid w:val="00E84957"/>
    <w:rsid w:val="00E84A55"/>
    <w:rsid w:val="00E85BFF"/>
    <w:rsid w:val="00E90391"/>
    <w:rsid w:val="00E906C2"/>
    <w:rsid w:val="00E91CF0"/>
    <w:rsid w:val="00E9311F"/>
    <w:rsid w:val="00E934D1"/>
    <w:rsid w:val="00E94AF0"/>
    <w:rsid w:val="00E95D13"/>
    <w:rsid w:val="00E95DD3"/>
    <w:rsid w:val="00E969D5"/>
    <w:rsid w:val="00E9738E"/>
    <w:rsid w:val="00EA58D1"/>
    <w:rsid w:val="00EA61BC"/>
    <w:rsid w:val="00EA681A"/>
    <w:rsid w:val="00EA735B"/>
    <w:rsid w:val="00EB0907"/>
    <w:rsid w:val="00EB17DE"/>
    <w:rsid w:val="00EB1E69"/>
    <w:rsid w:val="00EB2086"/>
    <w:rsid w:val="00EB2B4B"/>
    <w:rsid w:val="00EB5EDF"/>
    <w:rsid w:val="00EB60FE"/>
    <w:rsid w:val="00EB74DB"/>
    <w:rsid w:val="00EC5359"/>
    <w:rsid w:val="00EC562A"/>
    <w:rsid w:val="00ED067A"/>
    <w:rsid w:val="00ED2B50"/>
    <w:rsid w:val="00EE0350"/>
    <w:rsid w:val="00EE0719"/>
    <w:rsid w:val="00EE0E80"/>
    <w:rsid w:val="00EE54A6"/>
    <w:rsid w:val="00EE613F"/>
    <w:rsid w:val="00EE7004"/>
    <w:rsid w:val="00EE7295"/>
    <w:rsid w:val="00EE7869"/>
    <w:rsid w:val="00EF054A"/>
    <w:rsid w:val="00EF3235"/>
    <w:rsid w:val="00EF45DA"/>
    <w:rsid w:val="00EF7E72"/>
    <w:rsid w:val="00F06D37"/>
    <w:rsid w:val="00F07B9D"/>
    <w:rsid w:val="00F11586"/>
    <w:rsid w:val="00F11641"/>
    <w:rsid w:val="00F1183B"/>
    <w:rsid w:val="00F11C9F"/>
    <w:rsid w:val="00F12263"/>
    <w:rsid w:val="00F1409D"/>
    <w:rsid w:val="00F14214"/>
    <w:rsid w:val="00F157A9"/>
    <w:rsid w:val="00F241A2"/>
    <w:rsid w:val="00F248B2"/>
    <w:rsid w:val="00F25BB6"/>
    <w:rsid w:val="00F26B7E"/>
    <w:rsid w:val="00F27A3B"/>
    <w:rsid w:val="00F33817"/>
    <w:rsid w:val="00F339F8"/>
    <w:rsid w:val="00F420D5"/>
    <w:rsid w:val="00F451EA"/>
    <w:rsid w:val="00F45447"/>
    <w:rsid w:val="00F456C6"/>
    <w:rsid w:val="00F4577B"/>
    <w:rsid w:val="00F46496"/>
    <w:rsid w:val="00F474D0"/>
    <w:rsid w:val="00F50179"/>
    <w:rsid w:val="00F515EE"/>
    <w:rsid w:val="00F56511"/>
    <w:rsid w:val="00F6194E"/>
    <w:rsid w:val="00F623AC"/>
    <w:rsid w:val="00F6412A"/>
    <w:rsid w:val="00F64DDC"/>
    <w:rsid w:val="00F65893"/>
    <w:rsid w:val="00F66A4A"/>
    <w:rsid w:val="00F66FC9"/>
    <w:rsid w:val="00F71E22"/>
    <w:rsid w:val="00F71F51"/>
    <w:rsid w:val="00F72142"/>
    <w:rsid w:val="00F72AE7"/>
    <w:rsid w:val="00F75B5A"/>
    <w:rsid w:val="00F76BFB"/>
    <w:rsid w:val="00F81141"/>
    <w:rsid w:val="00F81F19"/>
    <w:rsid w:val="00F833BA"/>
    <w:rsid w:val="00F84FD0"/>
    <w:rsid w:val="00F859A8"/>
    <w:rsid w:val="00F86D87"/>
    <w:rsid w:val="00F9108B"/>
    <w:rsid w:val="00F91349"/>
    <w:rsid w:val="00F93A8A"/>
    <w:rsid w:val="00F95248"/>
    <w:rsid w:val="00F956A9"/>
    <w:rsid w:val="00F956D6"/>
    <w:rsid w:val="00F95CEF"/>
    <w:rsid w:val="00F963ED"/>
    <w:rsid w:val="00F966CF"/>
    <w:rsid w:val="00F96CAE"/>
    <w:rsid w:val="00F97C99"/>
    <w:rsid w:val="00FA4DAC"/>
    <w:rsid w:val="00FA662D"/>
    <w:rsid w:val="00FA73B1"/>
    <w:rsid w:val="00FB0CB9"/>
    <w:rsid w:val="00FB231D"/>
    <w:rsid w:val="00FB45F1"/>
    <w:rsid w:val="00FB4A72"/>
    <w:rsid w:val="00FB54E8"/>
    <w:rsid w:val="00FB7054"/>
    <w:rsid w:val="00FB71FE"/>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41E2"/>
    <w:rsid w:val="00FF5B99"/>
    <w:rsid w:val="00FF730C"/>
    <w:rsid w:val="00FF73F4"/>
    <w:rsid w:val="00FF7CE4"/>
    <w:rsid w:val="00FF7E39"/>
    <w:rsid w:val="02335D52"/>
    <w:rsid w:val="09C570FD"/>
    <w:rsid w:val="0D4C6312"/>
    <w:rsid w:val="0DC776C8"/>
    <w:rsid w:val="109019B2"/>
    <w:rsid w:val="18505ED9"/>
    <w:rsid w:val="194A1C54"/>
    <w:rsid w:val="1FC07325"/>
    <w:rsid w:val="21EF2FB7"/>
    <w:rsid w:val="26972DEC"/>
    <w:rsid w:val="27DB221C"/>
    <w:rsid w:val="28B91273"/>
    <w:rsid w:val="2A1229E8"/>
    <w:rsid w:val="2A8A31B3"/>
    <w:rsid w:val="2E941962"/>
    <w:rsid w:val="31055C6F"/>
    <w:rsid w:val="31283019"/>
    <w:rsid w:val="39B62372"/>
    <w:rsid w:val="3FE27EFD"/>
    <w:rsid w:val="43821325"/>
    <w:rsid w:val="46A777DD"/>
    <w:rsid w:val="480E14E9"/>
    <w:rsid w:val="4921031A"/>
    <w:rsid w:val="4C1056D2"/>
    <w:rsid w:val="4C7A3F06"/>
    <w:rsid w:val="50766B24"/>
    <w:rsid w:val="5261160E"/>
    <w:rsid w:val="583A312A"/>
    <w:rsid w:val="5FD3144C"/>
    <w:rsid w:val="620202E0"/>
    <w:rsid w:val="62C53E75"/>
    <w:rsid w:val="6B5F2D47"/>
    <w:rsid w:val="6CEF1DD4"/>
    <w:rsid w:val="706C2EEF"/>
    <w:rsid w:val="70735C8F"/>
    <w:rsid w:val="73567625"/>
    <w:rsid w:val="7932741A"/>
    <w:rsid w:val="7CFF04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qFormat/>
    <w:uiPriority w:val="0"/>
    <w:rPr>
      <w:b/>
      <w:bCs/>
      <w:kern w:val="44"/>
      <w:sz w:val="44"/>
      <w:szCs w:val="44"/>
    </w:rPr>
  </w:style>
  <w:style w:type="character" w:customStyle="1" w:styleId="35">
    <w:name w:val="标题 2 Char"/>
    <w:link w:val="3"/>
    <w:qFormat/>
    <w:uiPriority w:val="0"/>
    <w:rPr>
      <w:rFonts w:ascii="Arial" w:hAnsi="Arial" w:eastAsia="黑体"/>
      <w:b/>
      <w:bCs/>
      <w:kern w:val="2"/>
      <w:sz w:val="32"/>
      <w:szCs w:val="32"/>
    </w:rPr>
  </w:style>
  <w:style w:type="character" w:customStyle="1" w:styleId="36">
    <w:name w:val="标题 3 Char"/>
    <w:link w:val="4"/>
    <w:qFormat/>
    <w:uiPriority w:val="0"/>
    <w:rPr>
      <w:b/>
      <w:bCs/>
      <w:kern w:val="2"/>
      <w:sz w:val="32"/>
      <w:szCs w:val="32"/>
    </w:rPr>
  </w:style>
  <w:style w:type="character" w:customStyle="1" w:styleId="37">
    <w:name w:val="标题 4 Char"/>
    <w:link w:val="5"/>
    <w:qFormat/>
    <w:uiPriority w:val="0"/>
    <w:rPr>
      <w:rFonts w:ascii="Arial" w:hAnsi="Arial" w:eastAsia="黑体"/>
      <w:b/>
      <w:bCs/>
      <w:kern w:val="2"/>
      <w:sz w:val="28"/>
      <w:szCs w:val="28"/>
    </w:rPr>
  </w:style>
  <w:style w:type="character" w:customStyle="1" w:styleId="38">
    <w:name w:val="标题 5 Char"/>
    <w:link w:val="6"/>
    <w:qFormat/>
    <w:uiPriority w:val="0"/>
    <w:rPr>
      <w:b/>
      <w:bCs/>
      <w:kern w:val="2"/>
      <w:sz w:val="28"/>
      <w:szCs w:val="28"/>
    </w:rPr>
  </w:style>
  <w:style w:type="character" w:customStyle="1" w:styleId="39">
    <w:name w:val="标题 6 Char"/>
    <w:link w:val="7"/>
    <w:qFormat/>
    <w:uiPriority w:val="0"/>
    <w:rPr>
      <w:rFonts w:ascii="Arial" w:hAnsi="Arial" w:eastAsia="黑体"/>
      <w:b/>
      <w:bCs/>
      <w:kern w:val="2"/>
      <w:sz w:val="24"/>
      <w:szCs w:val="24"/>
    </w:rPr>
  </w:style>
  <w:style w:type="character" w:customStyle="1" w:styleId="40">
    <w:name w:val="标题 7 Char"/>
    <w:link w:val="8"/>
    <w:qFormat/>
    <w:uiPriority w:val="0"/>
    <w:rPr>
      <w:b/>
      <w:bCs/>
      <w:kern w:val="2"/>
      <w:sz w:val="24"/>
      <w:szCs w:val="24"/>
    </w:rPr>
  </w:style>
  <w:style w:type="character" w:customStyle="1" w:styleId="41">
    <w:name w:val="标题 8 Char"/>
    <w:link w:val="9"/>
    <w:qFormat/>
    <w:uiPriority w:val="0"/>
    <w:rPr>
      <w:rFonts w:ascii="Arial" w:hAnsi="Arial" w:eastAsia="黑体"/>
      <w:kern w:val="2"/>
      <w:sz w:val="24"/>
      <w:szCs w:val="24"/>
    </w:rPr>
  </w:style>
  <w:style w:type="character" w:customStyle="1" w:styleId="42">
    <w:name w:val="标题 9 Char"/>
    <w:link w:val="10"/>
    <w:qFormat/>
    <w:uiPriority w:val="0"/>
    <w:rPr>
      <w:rFonts w:ascii="Arial" w:hAnsi="Arial" w:eastAsia="黑体"/>
      <w:kern w:val="2"/>
      <w:sz w:val="21"/>
      <w:szCs w:val="21"/>
    </w:rPr>
  </w:style>
  <w:style w:type="character" w:customStyle="1" w:styleId="43">
    <w:name w:val="页眉 Char"/>
    <w:link w:val="18"/>
    <w:qFormat/>
    <w:uiPriority w:val="99"/>
    <w:rPr>
      <w:kern w:val="2"/>
      <w:sz w:val="18"/>
      <w:szCs w:val="18"/>
    </w:rPr>
  </w:style>
  <w:style w:type="character" w:customStyle="1" w:styleId="44">
    <w:name w:val="页脚 Char"/>
    <w:link w:val="17"/>
    <w:qFormat/>
    <w:uiPriority w:val="99"/>
    <w:rPr>
      <w:rFonts w:ascii="宋体"/>
      <w:kern w:val="2"/>
      <w:sz w:val="18"/>
      <w:szCs w:val="18"/>
    </w:rPr>
  </w:style>
  <w:style w:type="character" w:customStyle="1" w:styleId="45">
    <w:name w:val="批注框文本 Char"/>
    <w:link w:val="16"/>
    <w:semiHidden/>
    <w:qFormat/>
    <w:uiPriority w:val="99"/>
    <w:rPr>
      <w:kern w:val="2"/>
      <w:sz w:val="18"/>
      <w:szCs w:val="18"/>
    </w:rPr>
  </w:style>
  <w:style w:type="paragraph" w:customStyle="1" w:styleId="46">
    <w:name w:val="引用1"/>
    <w:basedOn w:val="1"/>
    <w:next w:val="1"/>
    <w:link w:val="47"/>
    <w:qFormat/>
    <w:uiPriority w:val="29"/>
    <w:rPr>
      <w:i/>
      <w:iCs/>
      <w:color w:val="000000"/>
    </w:rPr>
  </w:style>
  <w:style w:type="character" w:customStyle="1" w:styleId="47">
    <w:name w:val="引用 Char"/>
    <w:link w:val="46"/>
    <w:qFormat/>
    <w:uiPriority w:val="29"/>
    <w:rPr>
      <w:i/>
      <w:iCs/>
      <w:color w:val="000000"/>
      <w:kern w:val="2"/>
      <w:sz w:val="21"/>
      <w:szCs w:val="21"/>
    </w:rPr>
  </w:style>
  <w:style w:type="character" w:customStyle="1" w:styleId="48">
    <w:name w:val="标题 Char"/>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numPr>
        <w:numId w:val="0"/>
      </w:numPr>
      <w:spacing w:line="460" w:lineRule="exact"/>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numPr>
        <w:ilvl w:val="0"/>
        <w:numId w:val="0"/>
      </w:numPr>
      <w:spacing w:before="0" w:beforeLines="0" w:after="0" w:afterLines="0"/>
      <w:outlineLvl w:val="9"/>
    </w:pPr>
    <w:rPr>
      <w:rFonts w:ascii="宋体" w:eastAsia="宋体"/>
    </w:rPr>
  </w:style>
  <w:style w:type="paragraph" w:customStyle="1" w:styleId="163">
    <w:name w:val="标准文件_五级无标题"/>
    <w:basedOn w:val="103"/>
    <w:qFormat/>
    <w:uiPriority w:val="0"/>
    <w:pPr>
      <w:numPr>
        <w:ilvl w:val="0"/>
        <w:numId w:val="0"/>
      </w:numPr>
      <w:spacing w:before="0" w:beforeLines="0" w:after="0" w:afterLines="0"/>
      <w:outlineLvl w:val="9"/>
    </w:pPr>
    <w:rPr>
      <w:rFonts w:ascii="宋体" w:eastAsia="宋体"/>
    </w:rPr>
  </w:style>
  <w:style w:type="paragraph" w:customStyle="1" w:styleId="164">
    <w:name w:val="标准文件_三级无标题"/>
    <w:basedOn w:val="94"/>
    <w:qFormat/>
    <w:uiPriority w:val="0"/>
    <w:pPr>
      <w:numPr>
        <w:ilvl w:val="0"/>
        <w:numId w:val="0"/>
      </w:numPr>
      <w:spacing w:before="0" w:beforeLines="0" w:after="0" w:afterLines="0"/>
      <w:outlineLvl w:val="9"/>
    </w:pPr>
    <w:rPr>
      <w:rFonts w:ascii="宋体" w:eastAsia="宋体"/>
    </w:rPr>
  </w:style>
  <w:style w:type="paragraph" w:customStyle="1" w:styleId="165">
    <w:name w:val="标准文件_二级无标题"/>
    <w:basedOn w:val="65"/>
    <w:qFormat/>
    <w:uiPriority w:val="0"/>
    <w:pPr>
      <w:numPr>
        <w:ilvl w:val="0"/>
        <w:numId w:val="0"/>
      </w:num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numPr>
        <w:ilvl w:val="0"/>
        <w:numId w:val="0"/>
      </w:numPr>
      <w:spacing w:before="0" w:beforeLines="0" w:after="0" w:afterLines="0"/>
      <w:outlineLvl w:val="9"/>
    </w:pPr>
    <w:rPr>
      <w:rFonts w:ascii="宋体" w:hAnsi="黑体" w:eastAsia="宋体"/>
      <w:szCs w:val="52"/>
    </w:rPr>
  </w:style>
  <w:style w:type="paragraph" w:customStyle="1" w:styleId="168">
    <w:name w:val="标准文件_大写罗马数字编号列项"/>
    <w:basedOn w:val="56"/>
    <w:uiPriority w:val="0"/>
    <w:pPr>
      <w:numPr>
        <w:ilvl w:val="0"/>
        <w:numId w:val="23"/>
      </w:numPr>
      <w:tabs>
        <w:tab w:val="left" w:pos="330"/>
      </w:tabs>
      <w:ind w:firstLine="0" w:firstLineChars="0"/>
    </w:pPr>
    <w:rPr>
      <w:rFonts w:ascii="Times New Roman" w:cs="Arial"/>
      <w:szCs w:val="28"/>
    </w:rPr>
  </w:style>
  <w:style w:type="paragraph" w:customStyle="1" w:styleId="169">
    <w:name w:val="标准文件_小写罗马数字编号列项"/>
    <w:basedOn w:val="56"/>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uiPriority w:val="0"/>
    <w:rPr>
      <w:rFonts w:ascii="宋体" w:hAnsi="Times New Roman" w:eastAsia="宋体" w:cs="Times New Roman"/>
      <w:sz w:val="21"/>
      <w:lang w:val="en-US" w:eastAsia="zh-CN" w:bidi="ar-SA"/>
    </w:rPr>
  </w:style>
  <w:style w:type="paragraph" w:customStyle="1" w:styleId="172">
    <w:name w:val="标准文件_三级项"/>
    <w:basedOn w:val="1"/>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uiPriority w:val="0"/>
    <w:rPr>
      <w:rFonts w:ascii="宋体"/>
      <w:sz w:val="21"/>
    </w:rPr>
  </w:style>
  <w:style w:type="paragraph" w:customStyle="1" w:styleId="185">
    <w:name w:val="标准文件_表格续"/>
    <w:basedOn w:val="56"/>
    <w:next w:val="56"/>
    <w:qFormat/>
    <w:uiPriority w:val="0"/>
    <w:pPr>
      <w:jc w:val="center"/>
    </w:pPr>
    <w:rPr>
      <w:rFonts w:ascii="黑体" w:hAnsi="黑体" w:eastAsia="黑体"/>
    </w:rPr>
  </w:style>
  <w:style w:type="character" w:customStyle="1" w:styleId="186">
    <w:name w:val="占位符文本1"/>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uiPriority w:val="0"/>
    <w:rPr>
      <w:rFonts w:ascii="宋体"/>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numPr>
        <w:ilvl w:val="0"/>
        <w:numId w:val="0"/>
      </w:numPr>
      <w:spacing w:before="0" w:beforeLines="0" w:after="0" w:afterLines="0" w:line="276" w:lineRule="auto"/>
      <w:outlineLvl w:val="9"/>
    </w:pPr>
    <w:rPr>
      <w:rFonts w:ascii="宋体" w:eastAsia="宋体"/>
    </w:rPr>
  </w:style>
  <w:style w:type="paragraph" w:customStyle="1" w:styleId="212">
    <w:name w:val="标准文件_附录二级无标题"/>
    <w:basedOn w:val="79"/>
    <w:uiPriority w:val="0"/>
    <w:pPr>
      <w:numPr>
        <w:ilvl w:val="0"/>
        <w:numId w:val="0"/>
      </w:num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numPr>
        <w:ilvl w:val="0"/>
        <w:numId w:val="0"/>
      </w:num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numPr>
        <w:ilvl w:val="0"/>
        <w:numId w:val="0"/>
      </w:num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numPr>
        <w:ilvl w:val="0"/>
        <w:numId w:val="0"/>
      </w:num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numPr>
        <w:ilvl w:val="0"/>
        <w:numId w:val="0"/>
      </w:num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numPr>
        <w:ilvl w:val="0"/>
        <w:numId w:val="0"/>
      </w:num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numPr>
        <w:ilvl w:val="0"/>
        <w:numId w:val="0"/>
      </w:num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numPr>
        <w:ilvl w:val="0"/>
        <w:numId w:val="0"/>
      </w:num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numPr>
        <w:ilvl w:val="0"/>
        <w:numId w:val="0"/>
      </w:num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jpe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3D7869FB0E664F7893103F65EFCC3FA4"/>
        <w:style w:val=""/>
        <w:category>
          <w:name w:val="常规"/>
          <w:gallery w:val="placeholder"/>
        </w:category>
        <w:types>
          <w:type w:val="bbPlcHdr"/>
        </w:types>
        <w:behaviors>
          <w:behavior w:val="content"/>
        </w:behaviors>
        <w:description w:val=""/>
        <w:guid w:val="{FC104758-2BDB-4B84-86F8-9B2ADB79C32B}"/>
      </w:docPartPr>
      <w:docPartBody>
        <w:p>
          <w:pPr>
            <w:pStyle w:val="5"/>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2E1"/>
    <w:rsid w:val="000F1328"/>
    <w:rsid w:val="00155D2F"/>
    <w:rsid w:val="00302745"/>
    <w:rsid w:val="003179FB"/>
    <w:rsid w:val="00330BD6"/>
    <w:rsid w:val="004002E1"/>
    <w:rsid w:val="004E2964"/>
    <w:rsid w:val="0058430F"/>
    <w:rsid w:val="00683BCA"/>
    <w:rsid w:val="00835AD1"/>
    <w:rsid w:val="0087016D"/>
    <w:rsid w:val="009E3C21"/>
    <w:rsid w:val="00A40F0F"/>
    <w:rsid w:val="00AA3A5A"/>
    <w:rsid w:val="00AE61FD"/>
    <w:rsid w:val="00C94FA8"/>
    <w:rsid w:val="00CB2B86"/>
    <w:rsid w:val="00E53770"/>
    <w:rsid w:val="00F34CD0"/>
    <w:rsid w:val="00F57266"/>
    <w:rsid w:val="00FC6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4">
    <w:name w:val="占位符文本1"/>
    <w:basedOn w:val="2"/>
    <w:semiHidden/>
    <w:qFormat/>
    <w:uiPriority w:val="99"/>
    <w:rPr>
      <w:color w:val="808080"/>
    </w:rPr>
  </w:style>
  <w:style w:type="paragraph" w:customStyle="1" w:styleId="5">
    <w:name w:val="3D7869FB0E664F7893103F65EFCC3FA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7A940A3F5AC04CF7BCD4A999956BF89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610B1E67715847DCB4933AD96D04FF7D"/>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32084-C156-42A4-A210-9B78CB08CFE4}">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Pages>
  <Words>482</Words>
  <Characters>2752</Characters>
  <Lines>22</Lines>
  <Paragraphs>6</Paragraphs>
  <TotalTime>1</TotalTime>
  <ScaleCrop>false</ScaleCrop>
  <LinksUpToDate>false</LinksUpToDate>
  <CharactersWithSpaces>3228</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2024-06-26T05:04:00Z</dcterms:created>
  <dc:creator>xb21cn</dc:creator>
  <cp:lastModifiedBy>Administrator</cp:lastModifiedBy>
  <cp:lastPrinted>2020-08-30T10:00:00Z</cp:lastPrinted>
  <dcterms:modified xsi:type="dcterms:W3CDTF">2024-06-28T00:30:59Z</dcterms:modified>
  <dc:title>地方标准</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2052-12.1.0.15324</vt:lpwstr>
  </property>
  <property fmtid="{D5CDD505-2E9C-101B-9397-08002B2CF9AE}" pid="15" name="ICV">
    <vt:lpwstr>612E138CACAE4FB582CE3F558341A4E2_13</vt:lpwstr>
  </property>
</Properties>
</file>